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F9" w:rsidRPr="00937098" w:rsidRDefault="00A86CE6" w:rsidP="00937098">
      <w:pPr>
        <w:jc w:val="both"/>
        <w:rPr>
          <w:rFonts w:ascii="Ubuntu" w:hAnsi="Ubuntu"/>
          <w:lang w:val="en-US"/>
        </w:rPr>
      </w:pPr>
      <w:r w:rsidRPr="00937098">
        <w:rPr>
          <w:rFonts w:ascii="Ubuntu" w:hAnsi="Ubuntu"/>
          <w:lang w:val="en-US"/>
        </w:rPr>
        <w:t>The dataset contains estimates of gender wage gap (GWG)</w:t>
      </w:r>
      <w:r w:rsidR="009B2377" w:rsidRPr="00937098">
        <w:rPr>
          <w:rFonts w:ascii="Ubuntu" w:hAnsi="Ubuntu"/>
          <w:lang w:val="en-US"/>
        </w:rPr>
        <w:t xml:space="preserve"> for hourly wages</w:t>
      </w:r>
      <w:r w:rsidRPr="00937098">
        <w:rPr>
          <w:rFonts w:ascii="Ubuntu" w:hAnsi="Ubuntu"/>
          <w:lang w:val="en-US"/>
        </w:rPr>
        <w:t xml:space="preserve"> using various methodological approaches for multiple countries over time. </w:t>
      </w:r>
    </w:p>
    <w:p w:rsidR="00A86CE6" w:rsidRPr="00937098" w:rsidRDefault="00A86CE6" w:rsidP="00937098">
      <w:pPr>
        <w:jc w:val="both"/>
        <w:rPr>
          <w:rFonts w:ascii="Ubuntu" w:hAnsi="Ubuntu"/>
          <w:lang w:val="en-US"/>
        </w:rPr>
      </w:pPr>
      <w:r w:rsidRPr="00937098">
        <w:rPr>
          <w:rFonts w:ascii="Ubuntu" w:hAnsi="Ubuntu"/>
          <w:lang w:val="en-US"/>
        </w:rPr>
        <w:t>Data source employed for estimations of GWG: EU-SILC, waves 2004-2013</w:t>
      </w:r>
      <w:r w:rsidR="00F70664" w:rsidRPr="00937098">
        <w:rPr>
          <w:rFonts w:ascii="Ubuntu" w:hAnsi="Ubuntu"/>
          <w:lang w:val="en-US"/>
        </w:rPr>
        <w:t>.</w:t>
      </w:r>
      <w:r w:rsidRPr="00937098">
        <w:rPr>
          <w:rFonts w:ascii="Ubuntu" w:hAnsi="Ubuntu"/>
          <w:lang w:val="en-US"/>
        </w:rPr>
        <w:t xml:space="preserve"> </w:t>
      </w:r>
    </w:p>
    <w:p w:rsidR="00B54178" w:rsidRPr="00937098" w:rsidRDefault="00B54178" w:rsidP="00937098">
      <w:pPr>
        <w:jc w:val="both"/>
        <w:rPr>
          <w:rFonts w:ascii="Ubuntu" w:hAnsi="Ubuntu"/>
          <w:lang w:val="en-US"/>
        </w:rPr>
      </w:pPr>
      <w:r w:rsidRPr="00937098">
        <w:rPr>
          <w:rFonts w:ascii="Ubuntu" w:hAnsi="Ubuntu"/>
          <w:lang w:val="en-US"/>
        </w:rPr>
        <w:t>For each country and year</w:t>
      </w:r>
      <w:r w:rsidR="00E37B84" w:rsidRPr="00937098">
        <w:rPr>
          <w:rFonts w:ascii="Ubuntu" w:hAnsi="Ubuntu"/>
          <w:lang w:val="en-US"/>
        </w:rPr>
        <w:t>,</w:t>
      </w:r>
      <w:r w:rsidRPr="00937098">
        <w:rPr>
          <w:rFonts w:ascii="Ubuntu" w:hAnsi="Ubuntu"/>
          <w:lang w:val="en-US"/>
        </w:rPr>
        <w:t xml:space="preserve"> sample was limited to persons aged 16-65 that were employed full-time during the last 12 months, had only one job, and the following other variables were available: information on yearly income from dependent employment</w:t>
      </w:r>
      <w:r w:rsidR="009B2377" w:rsidRPr="00937098">
        <w:rPr>
          <w:rFonts w:ascii="Ubuntu" w:hAnsi="Ubuntu"/>
          <w:lang w:val="en-US"/>
        </w:rPr>
        <w:t xml:space="preserve"> and hour</w:t>
      </w:r>
      <w:r w:rsidR="00E37B84" w:rsidRPr="00937098">
        <w:rPr>
          <w:rFonts w:ascii="Ubuntu" w:hAnsi="Ubuntu"/>
          <w:lang w:val="en-US"/>
        </w:rPr>
        <w:t>s</w:t>
      </w:r>
      <w:r w:rsidR="009B2377" w:rsidRPr="00937098">
        <w:rPr>
          <w:rFonts w:ascii="Ubuntu" w:hAnsi="Ubuntu"/>
          <w:lang w:val="en-US"/>
        </w:rPr>
        <w:t xml:space="preserve"> usually worked</w:t>
      </w:r>
      <w:r w:rsidRPr="00937098">
        <w:rPr>
          <w:rFonts w:ascii="Ubuntu" w:hAnsi="Ubuntu"/>
          <w:lang w:val="en-US"/>
        </w:rPr>
        <w:t xml:space="preserve">, age, gender, </w:t>
      </w:r>
      <w:r w:rsidR="00584069" w:rsidRPr="00937098">
        <w:rPr>
          <w:rFonts w:ascii="Ubuntu" w:hAnsi="Ubuntu"/>
          <w:lang w:val="en-US"/>
        </w:rPr>
        <w:t xml:space="preserve">marital status, </w:t>
      </w:r>
      <w:r w:rsidRPr="00937098">
        <w:rPr>
          <w:rFonts w:ascii="Ubuntu" w:hAnsi="Ubuntu"/>
          <w:lang w:val="en-US"/>
        </w:rPr>
        <w:t>education, place of residence, occupation, industry, firm size, presence of children</w:t>
      </w:r>
      <w:r w:rsidR="00E37B84" w:rsidRPr="00937098">
        <w:rPr>
          <w:rFonts w:ascii="Ubuntu" w:hAnsi="Ubuntu"/>
          <w:lang w:val="en-US"/>
        </w:rPr>
        <w:t xml:space="preserve"> in the household, presence of other earner in the household, presence of </w:t>
      </w:r>
      <w:r w:rsidRPr="00937098">
        <w:rPr>
          <w:rFonts w:ascii="Ubuntu" w:hAnsi="Ubuntu"/>
          <w:lang w:val="en-US"/>
        </w:rPr>
        <w:t xml:space="preserve">non-earned income in the </w:t>
      </w:r>
      <w:r w:rsidR="003814DB" w:rsidRPr="00937098">
        <w:rPr>
          <w:rFonts w:ascii="Ubuntu" w:hAnsi="Ubuntu"/>
          <w:lang w:val="en-US"/>
        </w:rPr>
        <w:t>household.</w:t>
      </w:r>
    </w:p>
    <w:p w:rsidR="0048451B" w:rsidRPr="00937098" w:rsidRDefault="0048451B" w:rsidP="00937098">
      <w:pPr>
        <w:jc w:val="both"/>
        <w:rPr>
          <w:rFonts w:ascii="Ubuntu" w:hAnsi="Ubuntu"/>
          <w:lang w:val="en-US"/>
        </w:rPr>
      </w:pPr>
      <w:r w:rsidRPr="00937098">
        <w:rPr>
          <w:rFonts w:ascii="Ubuntu" w:hAnsi="Ubuntu"/>
          <w:lang w:val="en-US"/>
        </w:rPr>
        <w:t>Variables:</w:t>
      </w:r>
    </w:p>
    <w:p w:rsidR="00A86CE6" w:rsidRPr="00937098" w:rsidRDefault="0048451B" w:rsidP="00937098">
      <w:pPr>
        <w:pStyle w:val="Akapitzlist"/>
        <w:numPr>
          <w:ilvl w:val="0"/>
          <w:numId w:val="1"/>
        </w:numPr>
        <w:jc w:val="both"/>
        <w:rPr>
          <w:rFonts w:ascii="Ubuntu" w:hAnsi="Ubuntu"/>
          <w:lang w:val="en-US"/>
        </w:rPr>
      </w:pPr>
      <w:r w:rsidRPr="00937098">
        <w:rPr>
          <w:rFonts w:ascii="Ubuntu" w:hAnsi="Ubuntu"/>
          <w:i/>
          <w:lang w:val="en-US"/>
        </w:rPr>
        <w:t xml:space="preserve">country: </w:t>
      </w:r>
      <w:r w:rsidRPr="00937098">
        <w:rPr>
          <w:rFonts w:ascii="Ubuntu" w:hAnsi="Ubuntu"/>
          <w:lang w:val="en-US"/>
        </w:rPr>
        <w:t xml:space="preserve">string variable indicating for which country the </w:t>
      </w:r>
      <w:r w:rsidR="00F70664" w:rsidRPr="00937098">
        <w:rPr>
          <w:rFonts w:ascii="Ubuntu" w:hAnsi="Ubuntu"/>
          <w:lang w:val="en-US"/>
        </w:rPr>
        <w:t xml:space="preserve">GWG </w:t>
      </w:r>
      <w:r w:rsidRPr="00937098">
        <w:rPr>
          <w:rFonts w:ascii="Ubuntu" w:hAnsi="Ubuntu"/>
          <w:lang w:val="en-US"/>
        </w:rPr>
        <w:t>estimate applies. Countries covered: AT (Austria)</w:t>
      </w:r>
      <w:r w:rsidR="00CF62EF" w:rsidRPr="00937098">
        <w:rPr>
          <w:rFonts w:ascii="Ubuntu" w:hAnsi="Ubuntu"/>
          <w:lang w:val="en-US"/>
        </w:rPr>
        <w:t xml:space="preserve">, </w:t>
      </w:r>
      <w:r w:rsidRPr="00937098">
        <w:rPr>
          <w:rFonts w:ascii="Ubuntu" w:hAnsi="Ubuntu"/>
          <w:lang w:val="en-US"/>
        </w:rPr>
        <w:t>BE (</w:t>
      </w:r>
      <w:r w:rsidR="00CF62EF" w:rsidRPr="00937098">
        <w:rPr>
          <w:rFonts w:ascii="Ubuntu" w:hAnsi="Ubuntu"/>
          <w:lang w:val="en-US"/>
        </w:rPr>
        <w:t>Belgium</w:t>
      </w:r>
      <w:r w:rsidRPr="00937098">
        <w:rPr>
          <w:rFonts w:ascii="Ubuntu" w:hAnsi="Ubuntu"/>
          <w:lang w:val="en-US"/>
        </w:rPr>
        <w:t>)</w:t>
      </w:r>
      <w:r w:rsidR="00CF62EF" w:rsidRPr="00937098">
        <w:rPr>
          <w:rFonts w:ascii="Ubuntu" w:hAnsi="Ubuntu"/>
          <w:lang w:val="en-US"/>
        </w:rPr>
        <w:t xml:space="preserve">, </w:t>
      </w:r>
      <w:r w:rsidRPr="00937098">
        <w:rPr>
          <w:rFonts w:ascii="Ubuntu" w:hAnsi="Ubuntu"/>
          <w:lang w:val="en-US"/>
        </w:rPr>
        <w:t>BG (</w:t>
      </w:r>
      <w:r w:rsidR="00CF62EF" w:rsidRPr="00937098">
        <w:rPr>
          <w:rFonts w:ascii="Ubuntu" w:hAnsi="Ubuntu"/>
          <w:lang w:val="en-US"/>
        </w:rPr>
        <w:t>Bulgaria</w:t>
      </w:r>
      <w:r w:rsidRPr="00937098">
        <w:rPr>
          <w:rFonts w:ascii="Ubuntu" w:hAnsi="Ubuntu"/>
          <w:lang w:val="en-US"/>
        </w:rPr>
        <w:t>)</w:t>
      </w:r>
      <w:r w:rsidR="00CF62EF" w:rsidRPr="00937098">
        <w:rPr>
          <w:rFonts w:ascii="Ubuntu" w:hAnsi="Ubuntu"/>
          <w:lang w:val="en-US"/>
        </w:rPr>
        <w:t xml:space="preserve">, </w:t>
      </w:r>
      <w:r w:rsidRPr="00937098">
        <w:rPr>
          <w:rFonts w:ascii="Ubuntu" w:hAnsi="Ubuntu"/>
          <w:lang w:val="en-US"/>
        </w:rPr>
        <w:t>CZ (</w:t>
      </w:r>
      <w:proofErr w:type="spellStart"/>
      <w:r w:rsidRPr="00937098">
        <w:rPr>
          <w:rFonts w:ascii="Ubuntu" w:hAnsi="Ubuntu"/>
          <w:lang w:val="en-US"/>
        </w:rPr>
        <w:t>Czechia</w:t>
      </w:r>
      <w:proofErr w:type="spellEnd"/>
      <w:r w:rsidRPr="00937098">
        <w:rPr>
          <w:rFonts w:ascii="Ubuntu" w:hAnsi="Ubuntu"/>
          <w:lang w:val="en-US"/>
        </w:rPr>
        <w:t>), DE (Germany), DK (Denmark), EE (Estonia), ES (Spain), FI (Finland), FR (France), GR (Greece), HU (Hungary), IT (Italy), LT (Lithuania), LV (Latvia), NL (Netherlands), PL (Poland), PT (Portugal), RO (Romania), SE (Sweden), SI (Slovenia), SK (Slovakia), UK (United Kingdom)</w:t>
      </w:r>
      <w:r w:rsidR="00E37B84" w:rsidRPr="00937098">
        <w:rPr>
          <w:rFonts w:ascii="Ubuntu" w:hAnsi="Ubuntu"/>
          <w:lang w:val="en-US"/>
        </w:rPr>
        <w:t>;</w:t>
      </w:r>
    </w:p>
    <w:p w:rsidR="00F70664" w:rsidRPr="00937098" w:rsidRDefault="00F70664" w:rsidP="00937098">
      <w:pPr>
        <w:pStyle w:val="Akapitzlist"/>
        <w:numPr>
          <w:ilvl w:val="0"/>
          <w:numId w:val="1"/>
        </w:numPr>
        <w:jc w:val="both"/>
        <w:rPr>
          <w:rFonts w:ascii="Ubuntu" w:hAnsi="Ubuntu"/>
          <w:lang w:val="en-US"/>
        </w:rPr>
      </w:pPr>
      <w:r w:rsidRPr="00937098">
        <w:rPr>
          <w:rFonts w:ascii="Ubuntu" w:hAnsi="Ubuntu"/>
          <w:i/>
          <w:lang w:val="en-US"/>
        </w:rPr>
        <w:t>year</w:t>
      </w:r>
      <w:r w:rsidRPr="00937098">
        <w:rPr>
          <w:rFonts w:ascii="Ubuntu" w:hAnsi="Ubuntu"/>
          <w:lang w:val="en-US"/>
        </w:rPr>
        <w:t xml:space="preserve">: numerical variable indicating for which year the GWG estimate applies. Variable takes values between 2003 and 2012, as the EU-SILC waves 2004-2013 for </w:t>
      </w:r>
      <w:r w:rsidR="00F64DE8" w:rsidRPr="00937098">
        <w:rPr>
          <w:rFonts w:ascii="Ubuntu" w:hAnsi="Ubuntu"/>
          <w:lang w:val="en-US"/>
        </w:rPr>
        <w:t xml:space="preserve">most of mentioned </w:t>
      </w:r>
      <w:r w:rsidRPr="00937098">
        <w:rPr>
          <w:rFonts w:ascii="Ubuntu" w:hAnsi="Ubuntu"/>
          <w:lang w:val="en-US"/>
        </w:rPr>
        <w:t>countries cont</w:t>
      </w:r>
      <w:r w:rsidR="00E37B84" w:rsidRPr="00937098">
        <w:rPr>
          <w:rFonts w:ascii="Ubuntu" w:hAnsi="Ubuntu"/>
          <w:lang w:val="en-US"/>
        </w:rPr>
        <w:t>ain information for 2003-2012. This is due to the fact that</w:t>
      </w:r>
      <w:r w:rsidRPr="00937098">
        <w:rPr>
          <w:rFonts w:ascii="Ubuntu" w:hAnsi="Ubuntu"/>
          <w:lang w:val="en-US"/>
        </w:rPr>
        <w:t xml:space="preserve"> in</w:t>
      </w:r>
      <w:r w:rsidR="00300957" w:rsidRPr="00937098">
        <w:rPr>
          <w:rFonts w:ascii="Ubuntu" w:hAnsi="Ubuntu"/>
          <w:lang w:val="en-US"/>
        </w:rPr>
        <w:t xml:space="preserve">come reference period is the previous calendar year. The only exception </w:t>
      </w:r>
      <w:r w:rsidR="00E37B84" w:rsidRPr="00937098">
        <w:rPr>
          <w:rFonts w:ascii="Ubuntu" w:hAnsi="Ubuntu"/>
          <w:lang w:val="en-US"/>
        </w:rPr>
        <w:t xml:space="preserve">among mentioned countries </w:t>
      </w:r>
      <w:r w:rsidR="00300957" w:rsidRPr="00937098">
        <w:rPr>
          <w:rFonts w:ascii="Ubuntu" w:hAnsi="Ubuntu"/>
          <w:lang w:val="en-US"/>
        </w:rPr>
        <w:t xml:space="preserve">is </w:t>
      </w:r>
      <w:r w:rsidR="00F64DE8" w:rsidRPr="00937098">
        <w:rPr>
          <w:rFonts w:ascii="Ubuntu" w:hAnsi="Ubuntu"/>
          <w:lang w:val="en-US"/>
        </w:rPr>
        <w:t>the United Kingdom</w:t>
      </w:r>
      <w:r w:rsidR="00300957" w:rsidRPr="00937098">
        <w:rPr>
          <w:rFonts w:ascii="Ubuntu" w:hAnsi="Ubuntu"/>
          <w:lang w:val="en-US"/>
        </w:rPr>
        <w:t xml:space="preserve"> where income reference period is the current year. </w:t>
      </w:r>
      <w:r w:rsidR="00F64DE8" w:rsidRPr="00937098">
        <w:rPr>
          <w:rFonts w:ascii="Ubuntu" w:hAnsi="Ubuntu"/>
          <w:lang w:val="en-US"/>
        </w:rPr>
        <w:t xml:space="preserve">For most countries GWG estimates for years 2004-2012 are available. For Austria, Belgium, Denmark, Estonia, France and Sweden estimates are available already for 2003. For the United Kingdom estimates are available from 2005. For Bulgaria, Latvia, and Romania estimates are available from 2006. </w:t>
      </w:r>
    </w:p>
    <w:p w:rsidR="007C1CF8" w:rsidRPr="00937098" w:rsidRDefault="007C1CF8" w:rsidP="00937098">
      <w:pPr>
        <w:pStyle w:val="Akapitzlist"/>
        <w:numPr>
          <w:ilvl w:val="0"/>
          <w:numId w:val="1"/>
        </w:numPr>
        <w:jc w:val="both"/>
        <w:rPr>
          <w:rFonts w:ascii="Ubuntu" w:hAnsi="Ubuntu"/>
          <w:lang w:val="en-US"/>
        </w:rPr>
      </w:pPr>
      <w:r w:rsidRPr="00937098">
        <w:rPr>
          <w:rFonts w:ascii="Ubuntu" w:hAnsi="Ubuntu"/>
          <w:i/>
          <w:lang w:val="en-US"/>
        </w:rPr>
        <w:t>method</w:t>
      </w:r>
      <w:r w:rsidRPr="00937098">
        <w:rPr>
          <w:rFonts w:ascii="Ubuntu" w:hAnsi="Ubuntu"/>
          <w:lang w:val="en-US"/>
        </w:rPr>
        <w:t xml:space="preserve">: </w:t>
      </w:r>
      <w:r w:rsidR="00B54178" w:rsidRPr="00937098">
        <w:rPr>
          <w:rFonts w:ascii="Ubuntu" w:hAnsi="Ubuntu"/>
          <w:lang w:val="en-US"/>
        </w:rPr>
        <w:t>string variable indicating the method used for estimation of the GWG, and point of the distribution at which the gap was estimated (if different than the mean). “</w:t>
      </w:r>
      <w:proofErr w:type="spellStart"/>
      <w:r w:rsidR="00B54178" w:rsidRPr="00937098">
        <w:rPr>
          <w:rFonts w:ascii="Ubuntu" w:hAnsi="Ubuntu"/>
          <w:lang w:val="en-US"/>
        </w:rPr>
        <w:t>blin</w:t>
      </w:r>
      <w:proofErr w:type="spellEnd"/>
      <w:r w:rsidR="00B54178" w:rsidRPr="00937098">
        <w:rPr>
          <w:rFonts w:ascii="Ubuntu" w:hAnsi="Ubuntu"/>
          <w:lang w:val="en-US"/>
        </w:rPr>
        <w:t>” stands for Blinder (1973) method, “</w:t>
      </w:r>
      <w:proofErr w:type="spellStart"/>
      <w:r w:rsidR="00B54178" w:rsidRPr="00937098">
        <w:rPr>
          <w:rFonts w:ascii="Ubuntu" w:hAnsi="Ubuntu"/>
          <w:lang w:val="en-US"/>
        </w:rPr>
        <w:t>oaxa</w:t>
      </w:r>
      <w:proofErr w:type="spellEnd"/>
      <w:r w:rsidR="00B54178" w:rsidRPr="00937098">
        <w:rPr>
          <w:rFonts w:ascii="Ubuntu" w:hAnsi="Ubuntu"/>
          <w:lang w:val="en-US"/>
        </w:rPr>
        <w:t>” for Oaxaca (1973), “</w:t>
      </w:r>
      <w:proofErr w:type="spellStart"/>
      <w:r w:rsidR="00B54178" w:rsidRPr="00937098">
        <w:rPr>
          <w:rFonts w:ascii="Ubuntu" w:hAnsi="Ubuntu"/>
          <w:lang w:val="en-US"/>
        </w:rPr>
        <w:t>sloc</w:t>
      </w:r>
      <w:proofErr w:type="spellEnd"/>
      <w:r w:rsidR="00B54178" w:rsidRPr="00937098">
        <w:rPr>
          <w:rFonts w:ascii="Ubuntu" w:hAnsi="Ubuntu"/>
          <w:lang w:val="en-US"/>
        </w:rPr>
        <w:t xml:space="preserve">” for </w:t>
      </w:r>
      <w:proofErr w:type="spellStart"/>
      <w:r w:rsidR="00B54178" w:rsidRPr="00937098">
        <w:rPr>
          <w:rFonts w:ascii="Ubuntu" w:hAnsi="Ubuntu"/>
          <w:lang w:val="en-US"/>
        </w:rPr>
        <w:t>Słoczyński</w:t>
      </w:r>
      <w:proofErr w:type="spellEnd"/>
      <w:r w:rsidR="00B54178" w:rsidRPr="00937098">
        <w:rPr>
          <w:rFonts w:ascii="Ubuntu" w:hAnsi="Ubuntu"/>
          <w:lang w:val="en-US"/>
        </w:rPr>
        <w:t xml:space="preserve"> (2013), “</w:t>
      </w:r>
      <w:proofErr w:type="spellStart"/>
      <w:r w:rsidR="00B54178" w:rsidRPr="00937098">
        <w:rPr>
          <w:rFonts w:ascii="Ubuntu" w:hAnsi="Ubuntu"/>
          <w:lang w:val="en-US"/>
        </w:rPr>
        <w:t>cott</w:t>
      </w:r>
      <w:proofErr w:type="spellEnd"/>
      <w:r w:rsidR="00B54178" w:rsidRPr="00937098">
        <w:rPr>
          <w:rFonts w:ascii="Ubuntu" w:hAnsi="Ubuntu"/>
          <w:lang w:val="en-US"/>
        </w:rPr>
        <w:t>” for Cotton (1988), “</w:t>
      </w:r>
      <w:proofErr w:type="spellStart"/>
      <w:r w:rsidR="00B54178" w:rsidRPr="00937098">
        <w:rPr>
          <w:rFonts w:ascii="Ubuntu" w:hAnsi="Ubuntu"/>
          <w:lang w:val="en-US"/>
        </w:rPr>
        <w:t>reim</w:t>
      </w:r>
      <w:proofErr w:type="spellEnd"/>
      <w:r w:rsidR="00B54178" w:rsidRPr="00937098">
        <w:rPr>
          <w:rFonts w:ascii="Ubuntu" w:hAnsi="Ubuntu"/>
          <w:lang w:val="en-US"/>
        </w:rPr>
        <w:t>” for “</w:t>
      </w:r>
      <w:proofErr w:type="spellStart"/>
      <w:r w:rsidR="00B54178" w:rsidRPr="00937098">
        <w:rPr>
          <w:rFonts w:ascii="Ubuntu" w:hAnsi="Ubuntu"/>
          <w:lang w:val="en-US"/>
        </w:rPr>
        <w:t>Reimers</w:t>
      </w:r>
      <w:proofErr w:type="spellEnd"/>
      <w:r w:rsidR="00B54178" w:rsidRPr="00937098">
        <w:rPr>
          <w:rFonts w:ascii="Ubuntu" w:hAnsi="Ubuntu"/>
          <w:lang w:val="en-US"/>
        </w:rPr>
        <w:t xml:space="preserve"> (1983),</w:t>
      </w:r>
      <w:r w:rsidR="00A83BB2" w:rsidRPr="00937098">
        <w:rPr>
          <w:rFonts w:ascii="Ubuntu" w:hAnsi="Ubuntu"/>
          <w:lang w:val="en-US"/>
        </w:rPr>
        <w:t xml:space="preserve"> “for</w:t>
      </w:r>
      <w:r w:rsidR="00E37B84" w:rsidRPr="00937098">
        <w:rPr>
          <w:rFonts w:ascii="Ubuntu" w:hAnsi="Ubuntu"/>
          <w:lang w:val="en-US"/>
        </w:rPr>
        <w:t>t</w:t>
      </w:r>
      <w:r w:rsidR="00A83BB2" w:rsidRPr="00937098">
        <w:rPr>
          <w:rFonts w:ascii="Ubuntu" w:hAnsi="Ubuntu"/>
          <w:lang w:val="en-US"/>
        </w:rPr>
        <w:t>” for Fortin (2008), and “</w:t>
      </w:r>
      <w:proofErr w:type="spellStart"/>
      <w:r w:rsidR="00A83BB2" w:rsidRPr="00937098">
        <w:rPr>
          <w:rFonts w:ascii="Ubuntu" w:hAnsi="Ubuntu"/>
          <w:lang w:val="en-US"/>
        </w:rPr>
        <w:t>neum</w:t>
      </w:r>
      <w:proofErr w:type="spellEnd"/>
      <w:r w:rsidR="00A83BB2" w:rsidRPr="00937098">
        <w:rPr>
          <w:rFonts w:ascii="Ubuntu" w:hAnsi="Ubuntu"/>
          <w:lang w:val="en-US"/>
        </w:rPr>
        <w:t xml:space="preserve">” for </w:t>
      </w:r>
      <w:proofErr w:type="spellStart"/>
      <w:r w:rsidR="00A83BB2" w:rsidRPr="00937098">
        <w:rPr>
          <w:rFonts w:ascii="Ubuntu" w:hAnsi="Ubuntu"/>
          <w:lang w:val="en-US"/>
        </w:rPr>
        <w:t>Neumark</w:t>
      </w:r>
      <w:proofErr w:type="spellEnd"/>
      <w:r w:rsidR="00A83BB2" w:rsidRPr="00937098">
        <w:rPr>
          <w:rFonts w:ascii="Ubuntu" w:hAnsi="Ubuntu"/>
          <w:lang w:val="en-US"/>
        </w:rPr>
        <w:t xml:space="preserve"> (1988). Those are parametric methods that differ regarding the counterfactual wage assumed.</w:t>
      </w:r>
      <w:r w:rsidR="00B54178" w:rsidRPr="00937098">
        <w:rPr>
          <w:rFonts w:ascii="Ubuntu" w:hAnsi="Ubuntu"/>
          <w:lang w:val="en-US"/>
        </w:rPr>
        <w:t xml:space="preserve"> “</w:t>
      </w:r>
      <w:proofErr w:type="spellStart"/>
      <w:r w:rsidR="00B54178" w:rsidRPr="00937098">
        <w:rPr>
          <w:rFonts w:ascii="Ubuntu" w:hAnsi="Ubuntu"/>
          <w:lang w:val="en-US"/>
        </w:rPr>
        <w:t>hblin</w:t>
      </w:r>
      <w:proofErr w:type="spellEnd"/>
      <w:r w:rsidR="00B54178" w:rsidRPr="00937098">
        <w:rPr>
          <w:rFonts w:ascii="Ubuntu" w:hAnsi="Ubuntu"/>
          <w:lang w:val="en-US"/>
        </w:rPr>
        <w:t>”, “</w:t>
      </w:r>
      <w:proofErr w:type="spellStart"/>
      <w:r w:rsidR="00B54178" w:rsidRPr="00937098">
        <w:rPr>
          <w:rFonts w:ascii="Ubuntu" w:hAnsi="Ubuntu"/>
          <w:lang w:val="en-US"/>
        </w:rPr>
        <w:t>hoaxa</w:t>
      </w:r>
      <w:proofErr w:type="spellEnd"/>
      <w:r w:rsidR="00B54178" w:rsidRPr="00937098">
        <w:rPr>
          <w:rFonts w:ascii="Ubuntu" w:hAnsi="Ubuntu"/>
          <w:lang w:val="en-US"/>
        </w:rPr>
        <w:t>”, “</w:t>
      </w:r>
      <w:proofErr w:type="spellStart"/>
      <w:r w:rsidR="00B54178" w:rsidRPr="00937098">
        <w:rPr>
          <w:rFonts w:ascii="Ubuntu" w:hAnsi="Ubuntu"/>
          <w:lang w:val="en-US"/>
        </w:rPr>
        <w:t>hsloc</w:t>
      </w:r>
      <w:proofErr w:type="spellEnd"/>
      <w:r w:rsidR="00B54178" w:rsidRPr="00937098">
        <w:rPr>
          <w:rFonts w:ascii="Ubuntu" w:hAnsi="Ubuntu"/>
          <w:lang w:val="en-US"/>
        </w:rPr>
        <w:t>”, “</w:t>
      </w:r>
      <w:proofErr w:type="spellStart"/>
      <w:r w:rsidR="00B54178" w:rsidRPr="00937098">
        <w:rPr>
          <w:rFonts w:ascii="Ubuntu" w:hAnsi="Ubuntu"/>
          <w:lang w:val="en-US"/>
        </w:rPr>
        <w:t>hcott</w:t>
      </w:r>
      <w:proofErr w:type="spellEnd"/>
      <w:r w:rsidR="00B54178" w:rsidRPr="00937098">
        <w:rPr>
          <w:rFonts w:ascii="Ubuntu" w:hAnsi="Ubuntu"/>
          <w:lang w:val="en-US"/>
        </w:rPr>
        <w:t>”, “</w:t>
      </w:r>
      <w:proofErr w:type="spellStart"/>
      <w:r w:rsidR="00B54178" w:rsidRPr="00937098">
        <w:rPr>
          <w:rFonts w:ascii="Ubuntu" w:hAnsi="Ubuntu"/>
          <w:lang w:val="en-US"/>
        </w:rPr>
        <w:t>hreim</w:t>
      </w:r>
      <w:proofErr w:type="spellEnd"/>
      <w:r w:rsidR="00B54178" w:rsidRPr="00937098">
        <w:rPr>
          <w:rFonts w:ascii="Ubuntu" w:hAnsi="Ubuntu"/>
          <w:lang w:val="en-US"/>
        </w:rPr>
        <w:t>”</w:t>
      </w:r>
      <w:r w:rsidR="00A83BB2" w:rsidRPr="00937098">
        <w:rPr>
          <w:rFonts w:ascii="Ubuntu" w:hAnsi="Ubuntu"/>
          <w:lang w:val="en-US"/>
        </w:rPr>
        <w:t xml:space="preserve"> stand for parametric</w:t>
      </w:r>
      <w:r w:rsidR="00B54178" w:rsidRPr="00937098">
        <w:rPr>
          <w:rFonts w:ascii="Ubuntu" w:hAnsi="Ubuntu"/>
          <w:lang w:val="en-US"/>
        </w:rPr>
        <w:t xml:space="preserve"> approaches with Heckman (1979) correction for selection </w:t>
      </w:r>
      <w:r w:rsidR="003814DB" w:rsidRPr="00937098">
        <w:rPr>
          <w:rFonts w:ascii="Ubuntu" w:hAnsi="Ubuntu"/>
          <w:lang w:val="en-US"/>
        </w:rPr>
        <w:t>from active into full-time full-year emplo</w:t>
      </w:r>
      <w:r w:rsidR="009B2377" w:rsidRPr="00937098">
        <w:rPr>
          <w:rFonts w:ascii="Ubuntu" w:hAnsi="Ubuntu"/>
          <w:lang w:val="en-US"/>
        </w:rPr>
        <w:t xml:space="preserve">yment (information on presence of children/other earner/non-earned income in the household used as exclusion criteria). “jmp25”, “jmp50”, and “jmp75” stand for </w:t>
      </w:r>
      <w:proofErr w:type="spellStart"/>
      <w:r w:rsidR="009B2377" w:rsidRPr="00937098">
        <w:rPr>
          <w:rFonts w:ascii="Ubuntu" w:hAnsi="Ubuntu"/>
          <w:lang w:val="en-US"/>
        </w:rPr>
        <w:t>Juhn</w:t>
      </w:r>
      <w:proofErr w:type="spellEnd"/>
      <w:r w:rsidR="009B2377" w:rsidRPr="00937098">
        <w:rPr>
          <w:rFonts w:ascii="Ubuntu" w:hAnsi="Ubuntu"/>
          <w:lang w:val="en-US"/>
        </w:rPr>
        <w:t>, Murphy, and Pierce (1993) method at the 25th, 50th, and 75</w:t>
      </w:r>
      <w:r w:rsidR="009B2377" w:rsidRPr="00937098">
        <w:rPr>
          <w:rFonts w:ascii="Ubuntu" w:hAnsi="Ubuntu"/>
          <w:vertAlign w:val="superscript"/>
          <w:lang w:val="en-US"/>
        </w:rPr>
        <w:t>th</w:t>
      </w:r>
      <w:r w:rsidR="009B2377" w:rsidRPr="00937098">
        <w:rPr>
          <w:rFonts w:ascii="Ubuntu" w:hAnsi="Ubuntu"/>
          <w:lang w:val="en-US"/>
        </w:rPr>
        <w:t xml:space="preserve"> percentile of wage distribution.</w:t>
      </w:r>
      <w:r w:rsidR="00A83BB2" w:rsidRPr="00937098">
        <w:rPr>
          <w:rFonts w:ascii="Ubuntu" w:hAnsi="Ubuntu"/>
          <w:lang w:val="en-US"/>
        </w:rPr>
        <w:t xml:space="preserve"> In each case multiple counterfactual wage structures are assumed, thus the full names are e.g. “jmp25_blin”. </w:t>
      </w:r>
      <w:r w:rsidR="009B2377" w:rsidRPr="00937098">
        <w:rPr>
          <w:rFonts w:ascii="Ubuntu" w:hAnsi="Ubuntu"/>
          <w:lang w:val="en-US"/>
        </w:rPr>
        <w:t xml:space="preserve">The same logic applies to names standing for </w:t>
      </w:r>
      <w:proofErr w:type="spellStart"/>
      <w:r w:rsidR="009B2377" w:rsidRPr="00937098">
        <w:rPr>
          <w:rFonts w:ascii="Ubuntu" w:hAnsi="Ubuntu"/>
          <w:lang w:val="en-US"/>
        </w:rPr>
        <w:t>Recentered</w:t>
      </w:r>
      <w:proofErr w:type="spellEnd"/>
      <w:r w:rsidR="009B2377" w:rsidRPr="00937098">
        <w:rPr>
          <w:rFonts w:ascii="Ubuntu" w:hAnsi="Ubuntu"/>
          <w:lang w:val="en-US"/>
        </w:rPr>
        <w:t xml:space="preserve"> Influence Functions</w:t>
      </w:r>
      <w:r w:rsidR="00E37B84" w:rsidRPr="00937098">
        <w:rPr>
          <w:rFonts w:ascii="Ubuntu" w:hAnsi="Ubuntu"/>
          <w:lang w:val="en-US"/>
        </w:rPr>
        <w:t>,</w:t>
      </w:r>
      <w:r w:rsidR="009B2377" w:rsidRPr="00937098">
        <w:rPr>
          <w:rFonts w:ascii="Ubuntu" w:hAnsi="Ubuntu"/>
          <w:lang w:val="en-US"/>
        </w:rPr>
        <w:t xml:space="preserve"> “</w:t>
      </w:r>
      <w:proofErr w:type="spellStart"/>
      <w:r w:rsidR="009B2377" w:rsidRPr="00937098">
        <w:rPr>
          <w:rFonts w:ascii="Ubuntu" w:hAnsi="Ubuntu"/>
          <w:lang w:val="en-US"/>
        </w:rPr>
        <w:t>rif</w:t>
      </w:r>
      <w:proofErr w:type="spellEnd"/>
      <w:r w:rsidR="009B2377" w:rsidRPr="00937098">
        <w:rPr>
          <w:rFonts w:ascii="Ubuntu" w:hAnsi="Ubuntu"/>
          <w:lang w:val="en-US"/>
        </w:rPr>
        <w:t>”</w:t>
      </w:r>
      <w:r w:rsidR="00E37B84" w:rsidRPr="00937098">
        <w:rPr>
          <w:rFonts w:ascii="Ubuntu" w:hAnsi="Ubuntu"/>
          <w:lang w:val="en-US"/>
        </w:rPr>
        <w:t>,</w:t>
      </w:r>
      <w:r w:rsidR="009B2377" w:rsidRPr="00937098">
        <w:rPr>
          <w:rFonts w:ascii="Ubuntu" w:hAnsi="Ubuntu"/>
          <w:lang w:val="en-US"/>
        </w:rPr>
        <w:t xml:space="preserve"> method of </w:t>
      </w:r>
      <w:proofErr w:type="spellStart"/>
      <w:r w:rsidR="009B2377" w:rsidRPr="00937098">
        <w:rPr>
          <w:rFonts w:ascii="Ubuntu" w:hAnsi="Ubuntu"/>
          <w:lang w:val="en-US"/>
        </w:rPr>
        <w:t>Firpo</w:t>
      </w:r>
      <w:proofErr w:type="spellEnd"/>
      <w:r w:rsidR="009B2377" w:rsidRPr="00937098">
        <w:rPr>
          <w:rFonts w:ascii="Ubuntu" w:hAnsi="Ubuntu"/>
          <w:lang w:val="en-US"/>
        </w:rPr>
        <w:t>, Fortin, and Lemieux (2009)</w:t>
      </w:r>
      <w:r w:rsidR="00A42668" w:rsidRPr="00937098">
        <w:rPr>
          <w:rFonts w:ascii="Ubuntu" w:hAnsi="Ubuntu"/>
          <w:lang w:val="en-US"/>
        </w:rPr>
        <w:t xml:space="preserve"> that are also estimated at 25</w:t>
      </w:r>
      <w:r w:rsidR="00A42668" w:rsidRPr="00937098">
        <w:rPr>
          <w:rFonts w:ascii="Ubuntu" w:hAnsi="Ubuntu"/>
          <w:vertAlign w:val="superscript"/>
          <w:lang w:val="en-US"/>
        </w:rPr>
        <w:t>th</w:t>
      </w:r>
      <w:r w:rsidR="00A42668" w:rsidRPr="00937098">
        <w:rPr>
          <w:rFonts w:ascii="Ubuntu" w:hAnsi="Ubuntu"/>
          <w:lang w:val="en-US"/>
        </w:rPr>
        <w:t>, 50</w:t>
      </w:r>
      <w:r w:rsidR="00A42668" w:rsidRPr="00937098">
        <w:rPr>
          <w:rFonts w:ascii="Ubuntu" w:hAnsi="Ubuntu"/>
          <w:vertAlign w:val="superscript"/>
          <w:lang w:val="en-US"/>
        </w:rPr>
        <w:t>th</w:t>
      </w:r>
      <w:r w:rsidR="00A42668" w:rsidRPr="00937098">
        <w:rPr>
          <w:rFonts w:ascii="Ubuntu" w:hAnsi="Ubuntu"/>
          <w:lang w:val="en-US"/>
        </w:rPr>
        <w:t>, and 75</w:t>
      </w:r>
      <w:r w:rsidR="00A42668" w:rsidRPr="00937098">
        <w:rPr>
          <w:rFonts w:ascii="Ubuntu" w:hAnsi="Ubuntu"/>
          <w:vertAlign w:val="superscript"/>
          <w:lang w:val="en-US"/>
        </w:rPr>
        <w:t>th</w:t>
      </w:r>
      <w:r w:rsidR="00A42668" w:rsidRPr="00937098">
        <w:rPr>
          <w:rFonts w:ascii="Ubuntu" w:hAnsi="Ubuntu"/>
          <w:lang w:val="en-US"/>
        </w:rPr>
        <w:t xml:space="preserve"> percentiles and with multiple counterfactual wage structure assumed.</w:t>
      </w:r>
      <w:r w:rsidR="009B2377" w:rsidRPr="00937098">
        <w:rPr>
          <w:rFonts w:ascii="Ubuntu" w:hAnsi="Ubuntu"/>
          <w:lang w:val="en-US"/>
        </w:rPr>
        <w:t xml:space="preserve"> </w:t>
      </w:r>
      <w:r w:rsidR="00A42668" w:rsidRPr="00937098">
        <w:rPr>
          <w:rFonts w:ascii="Ubuntu" w:hAnsi="Ubuntu"/>
          <w:lang w:val="en-US"/>
        </w:rPr>
        <w:t>“</w:t>
      </w:r>
      <w:proofErr w:type="spellStart"/>
      <w:r w:rsidR="00A42668" w:rsidRPr="00937098">
        <w:rPr>
          <w:rFonts w:ascii="Ubuntu" w:hAnsi="Ubuntu"/>
          <w:lang w:val="en-US"/>
        </w:rPr>
        <w:t>dflm</w:t>
      </w:r>
      <w:proofErr w:type="spellEnd"/>
      <w:r w:rsidR="00A42668" w:rsidRPr="00937098">
        <w:rPr>
          <w:rFonts w:ascii="Ubuntu" w:hAnsi="Ubuntu"/>
          <w:lang w:val="en-US"/>
        </w:rPr>
        <w:t xml:space="preserve">”, </w:t>
      </w:r>
      <w:r w:rsidR="009B2377" w:rsidRPr="00937098">
        <w:rPr>
          <w:rFonts w:ascii="Ubuntu" w:hAnsi="Ubuntu"/>
          <w:lang w:val="en-US"/>
        </w:rPr>
        <w:t>“dfl</w:t>
      </w:r>
      <w:r w:rsidR="00A42668" w:rsidRPr="00937098">
        <w:rPr>
          <w:rFonts w:ascii="Ubuntu" w:hAnsi="Ubuntu"/>
          <w:lang w:val="en-US"/>
        </w:rPr>
        <w:t>25</w:t>
      </w:r>
      <w:r w:rsidR="009B2377" w:rsidRPr="00937098">
        <w:rPr>
          <w:rFonts w:ascii="Ubuntu" w:hAnsi="Ubuntu"/>
          <w:lang w:val="en-US"/>
        </w:rPr>
        <w:t>”</w:t>
      </w:r>
      <w:r w:rsidR="00E37B84" w:rsidRPr="00937098">
        <w:rPr>
          <w:rFonts w:ascii="Ubuntu" w:hAnsi="Ubuntu"/>
          <w:lang w:val="en-US"/>
        </w:rPr>
        <w:t>, “dfl50”, and “dfl75” stand</w:t>
      </w:r>
      <w:r w:rsidR="00A42668" w:rsidRPr="00937098">
        <w:rPr>
          <w:rFonts w:ascii="Ubuntu" w:hAnsi="Ubuntu"/>
          <w:lang w:val="en-US"/>
        </w:rPr>
        <w:t xml:space="preserve"> for estimates with</w:t>
      </w:r>
      <w:r w:rsidR="009B2377" w:rsidRPr="00937098">
        <w:rPr>
          <w:rFonts w:ascii="Ubuntu" w:hAnsi="Ubuntu"/>
          <w:lang w:val="en-US"/>
        </w:rPr>
        <w:t xml:space="preserve"> method of </w:t>
      </w:r>
      <w:proofErr w:type="spellStart"/>
      <w:r w:rsidR="009B2377" w:rsidRPr="00937098">
        <w:rPr>
          <w:rFonts w:ascii="Ubuntu" w:hAnsi="Ubuntu"/>
          <w:lang w:val="en-US"/>
        </w:rPr>
        <w:t>DiNar</w:t>
      </w:r>
      <w:r w:rsidR="00A42668" w:rsidRPr="00937098">
        <w:rPr>
          <w:rFonts w:ascii="Ubuntu" w:hAnsi="Ubuntu"/>
          <w:lang w:val="en-US"/>
        </w:rPr>
        <w:t>do</w:t>
      </w:r>
      <w:proofErr w:type="spellEnd"/>
      <w:r w:rsidR="00A42668" w:rsidRPr="00937098">
        <w:rPr>
          <w:rFonts w:ascii="Ubuntu" w:hAnsi="Ubuntu"/>
          <w:lang w:val="en-US"/>
        </w:rPr>
        <w:t>, Fortin, and Lemieux (1996) at the mean, and at the 25</w:t>
      </w:r>
      <w:r w:rsidR="00A42668" w:rsidRPr="00937098">
        <w:rPr>
          <w:rFonts w:ascii="Ubuntu" w:hAnsi="Ubuntu"/>
          <w:vertAlign w:val="superscript"/>
          <w:lang w:val="en-US"/>
        </w:rPr>
        <w:t>th</w:t>
      </w:r>
      <w:r w:rsidR="00A42668" w:rsidRPr="00937098">
        <w:rPr>
          <w:rFonts w:ascii="Ubuntu" w:hAnsi="Ubuntu"/>
          <w:lang w:val="en-US"/>
        </w:rPr>
        <w:t>, 50</w:t>
      </w:r>
      <w:r w:rsidR="00A42668" w:rsidRPr="00937098">
        <w:rPr>
          <w:rFonts w:ascii="Ubuntu" w:hAnsi="Ubuntu"/>
          <w:vertAlign w:val="superscript"/>
          <w:lang w:val="en-US"/>
        </w:rPr>
        <w:t>th</w:t>
      </w:r>
      <w:r w:rsidR="00A42668" w:rsidRPr="00937098">
        <w:rPr>
          <w:rFonts w:ascii="Ubuntu" w:hAnsi="Ubuntu"/>
          <w:lang w:val="en-US"/>
        </w:rPr>
        <w:t>, and 75</w:t>
      </w:r>
      <w:r w:rsidR="00A42668" w:rsidRPr="00937098">
        <w:rPr>
          <w:rFonts w:ascii="Ubuntu" w:hAnsi="Ubuntu"/>
          <w:vertAlign w:val="superscript"/>
          <w:lang w:val="en-US"/>
        </w:rPr>
        <w:t>th</w:t>
      </w:r>
      <w:r w:rsidR="00A42668" w:rsidRPr="00937098">
        <w:rPr>
          <w:rFonts w:ascii="Ubuntu" w:hAnsi="Ubuntu"/>
          <w:lang w:val="en-US"/>
        </w:rPr>
        <w:t xml:space="preserve"> percentile. </w:t>
      </w:r>
      <w:r w:rsidR="0050591E" w:rsidRPr="00937098">
        <w:rPr>
          <w:rFonts w:ascii="Ubuntu" w:hAnsi="Ubuntu"/>
          <w:lang w:val="en-US"/>
        </w:rPr>
        <w:t>“</w:t>
      </w:r>
      <w:proofErr w:type="spellStart"/>
      <w:r w:rsidR="0050591E" w:rsidRPr="00937098">
        <w:rPr>
          <w:rFonts w:ascii="Ubuntu" w:hAnsi="Ubuntu"/>
          <w:lang w:val="en-US"/>
        </w:rPr>
        <w:t>nopo</w:t>
      </w:r>
      <w:proofErr w:type="spellEnd"/>
      <w:r w:rsidR="0050591E" w:rsidRPr="00937098">
        <w:rPr>
          <w:rFonts w:ascii="Ubuntu" w:hAnsi="Ubuntu"/>
          <w:lang w:val="en-US"/>
        </w:rPr>
        <w:t xml:space="preserve">” stands for </w:t>
      </w:r>
      <w:proofErr w:type="spellStart"/>
      <w:r w:rsidR="0050591E" w:rsidRPr="00937098">
        <w:rPr>
          <w:rFonts w:ascii="Ubuntu" w:hAnsi="Ubuntu"/>
          <w:lang w:val="en-US"/>
        </w:rPr>
        <w:t>Nopo</w:t>
      </w:r>
      <w:proofErr w:type="spellEnd"/>
      <w:r w:rsidR="0050591E" w:rsidRPr="00937098">
        <w:rPr>
          <w:rFonts w:ascii="Ubuntu" w:hAnsi="Ubuntu"/>
          <w:lang w:val="en-US"/>
        </w:rPr>
        <w:t xml:space="preserve"> (2008). In reweighting method of </w:t>
      </w:r>
      <w:proofErr w:type="spellStart"/>
      <w:r w:rsidR="0050591E" w:rsidRPr="00937098">
        <w:rPr>
          <w:rFonts w:ascii="Ubuntu" w:hAnsi="Ubuntu"/>
          <w:lang w:val="en-US"/>
        </w:rPr>
        <w:t>DiNardo</w:t>
      </w:r>
      <w:proofErr w:type="spellEnd"/>
      <w:r w:rsidR="0050591E" w:rsidRPr="00937098">
        <w:rPr>
          <w:rFonts w:ascii="Ubuntu" w:hAnsi="Ubuntu"/>
          <w:lang w:val="en-US"/>
        </w:rPr>
        <w:t xml:space="preserve">, Fortin, and Lemieux (1996), and matching decomposition of </w:t>
      </w:r>
      <w:proofErr w:type="spellStart"/>
      <w:r w:rsidR="0050591E" w:rsidRPr="00937098">
        <w:rPr>
          <w:rFonts w:ascii="Ubuntu" w:hAnsi="Ubuntu"/>
          <w:lang w:val="en-US"/>
        </w:rPr>
        <w:t>Nopo</w:t>
      </w:r>
      <w:proofErr w:type="spellEnd"/>
      <w:r w:rsidR="0050591E" w:rsidRPr="00937098">
        <w:rPr>
          <w:rFonts w:ascii="Ubuntu" w:hAnsi="Ubuntu"/>
          <w:lang w:val="en-US"/>
        </w:rPr>
        <w:t xml:space="preserve"> (2008) the males’ wage structure is treated as non-discriminatory</w:t>
      </w:r>
      <w:r w:rsidR="009740FA" w:rsidRPr="00937098">
        <w:rPr>
          <w:rFonts w:ascii="Ubuntu" w:hAnsi="Ubuntu"/>
          <w:lang w:val="en-US"/>
        </w:rPr>
        <w:t>.</w:t>
      </w:r>
    </w:p>
    <w:p w:rsidR="009740FA" w:rsidRPr="00937098" w:rsidRDefault="009740FA" w:rsidP="00937098">
      <w:pPr>
        <w:pStyle w:val="Akapitzlist"/>
        <w:numPr>
          <w:ilvl w:val="0"/>
          <w:numId w:val="1"/>
        </w:numPr>
        <w:jc w:val="both"/>
        <w:rPr>
          <w:rFonts w:ascii="Ubuntu" w:hAnsi="Ubuntu"/>
          <w:lang w:val="en-US"/>
        </w:rPr>
      </w:pPr>
      <w:r w:rsidRPr="00937098">
        <w:rPr>
          <w:rFonts w:ascii="Ubuntu" w:hAnsi="Ubuntu"/>
          <w:i/>
          <w:lang w:val="en-US"/>
        </w:rPr>
        <w:lastRenderedPageBreak/>
        <w:t xml:space="preserve">set: </w:t>
      </w:r>
      <w:r w:rsidRPr="00937098">
        <w:rPr>
          <w:rFonts w:ascii="Ubuntu" w:hAnsi="Ubuntu"/>
          <w:lang w:val="en-US"/>
        </w:rPr>
        <w:t xml:space="preserve">methods from the variable </w:t>
      </w:r>
      <w:r w:rsidRPr="00937098">
        <w:rPr>
          <w:rFonts w:ascii="Ubuntu" w:hAnsi="Ubuntu"/>
          <w:i/>
          <w:lang w:val="en-US"/>
        </w:rPr>
        <w:t xml:space="preserve">methods </w:t>
      </w:r>
      <w:r w:rsidRPr="00937098">
        <w:rPr>
          <w:rFonts w:ascii="Ubuntu" w:hAnsi="Ubuntu"/>
          <w:lang w:val="en-US"/>
        </w:rPr>
        <w:t xml:space="preserve">were applied to different sets of controlled characteristics. The following sets were distinguished: "basic" stands for set of demographic and human capital variables only, and includes controls for age, education, marital status, and the degree of </w:t>
      </w:r>
      <w:proofErr w:type="spellStart"/>
      <w:r w:rsidRPr="00937098">
        <w:rPr>
          <w:rFonts w:ascii="Ubuntu" w:hAnsi="Ubuntu"/>
          <w:lang w:val="en-US"/>
        </w:rPr>
        <w:t>urbanisa</w:t>
      </w:r>
      <w:r w:rsidR="00E37B84" w:rsidRPr="00937098">
        <w:rPr>
          <w:rFonts w:ascii="Ubuntu" w:hAnsi="Ubuntu"/>
          <w:lang w:val="en-US"/>
        </w:rPr>
        <w:t>tion</w:t>
      </w:r>
      <w:proofErr w:type="spellEnd"/>
      <w:r w:rsidR="00E37B84" w:rsidRPr="00937098">
        <w:rPr>
          <w:rFonts w:ascii="Ubuntu" w:hAnsi="Ubuntu"/>
          <w:lang w:val="en-US"/>
        </w:rPr>
        <w:t xml:space="preserve"> in the place of living; "</w:t>
      </w:r>
      <w:proofErr w:type="spellStart"/>
      <w:r w:rsidR="00E37B84" w:rsidRPr="00937098">
        <w:rPr>
          <w:rFonts w:ascii="Ubuntu" w:hAnsi="Ubuntu"/>
          <w:lang w:val="en-US"/>
        </w:rPr>
        <w:t>i</w:t>
      </w:r>
      <w:r w:rsidRPr="00937098">
        <w:rPr>
          <w:rFonts w:ascii="Ubuntu" w:hAnsi="Ubuntu"/>
          <w:lang w:val="en-US"/>
        </w:rPr>
        <w:t>nd</w:t>
      </w:r>
      <w:proofErr w:type="spellEnd"/>
      <w:r w:rsidRPr="00937098">
        <w:rPr>
          <w:rFonts w:ascii="Ubuntu" w:hAnsi="Ubuntu"/>
          <w:lang w:val="en-US"/>
        </w:rPr>
        <w:t xml:space="preserve">" stands for basic set plus the controls </w:t>
      </w:r>
      <w:r w:rsidR="00610204" w:rsidRPr="00937098">
        <w:rPr>
          <w:rFonts w:ascii="Ubuntu" w:hAnsi="Ubuntu"/>
          <w:lang w:val="en-US"/>
        </w:rPr>
        <w:t>for the industry, "ind2</w:t>
      </w:r>
      <w:r w:rsidRPr="00937098">
        <w:rPr>
          <w:rFonts w:ascii="Ubuntu" w:hAnsi="Ubuntu"/>
          <w:lang w:val="en-US"/>
        </w:rPr>
        <w:t>" stands for set of characteristics that covers basic set plus ind</w:t>
      </w:r>
      <w:r w:rsidR="00610204" w:rsidRPr="00937098">
        <w:rPr>
          <w:rFonts w:ascii="Ubuntu" w:hAnsi="Ubuntu"/>
          <w:lang w:val="en-US"/>
        </w:rPr>
        <w:t>ustry and firm size controls; "</w:t>
      </w:r>
      <w:proofErr w:type="spellStart"/>
      <w:r w:rsidRPr="00937098">
        <w:rPr>
          <w:rFonts w:ascii="Ubuntu" w:hAnsi="Ubuntu"/>
          <w:lang w:val="en-US"/>
        </w:rPr>
        <w:t>occ</w:t>
      </w:r>
      <w:proofErr w:type="spellEnd"/>
      <w:r w:rsidRPr="00937098">
        <w:rPr>
          <w:rFonts w:ascii="Ubuntu" w:hAnsi="Ubuntu"/>
          <w:lang w:val="en-US"/>
        </w:rPr>
        <w:t>" covers basic characteristics</w:t>
      </w:r>
      <w:r w:rsidR="00610204" w:rsidRPr="00937098">
        <w:rPr>
          <w:rFonts w:ascii="Ubuntu" w:hAnsi="Ubuntu"/>
          <w:lang w:val="en-US"/>
        </w:rPr>
        <w:t xml:space="preserve"> plus occupation dummies; "</w:t>
      </w:r>
      <w:proofErr w:type="spellStart"/>
      <w:r w:rsidR="00610204" w:rsidRPr="00937098">
        <w:rPr>
          <w:rFonts w:ascii="Ubuntu" w:hAnsi="Ubuntu"/>
          <w:lang w:val="en-US"/>
        </w:rPr>
        <w:t>ind</w:t>
      </w:r>
      <w:r w:rsidRPr="00937098">
        <w:rPr>
          <w:rFonts w:ascii="Ubuntu" w:hAnsi="Ubuntu"/>
          <w:lang w:val="en-US"/>
        </w:rPr>
        <w:t>occ</w:t>
      </w:r>
      <w:proofErr w:type="spellEnd"/>
      <w:r w:rsidRPr="00937098">
        <w:rPr>
          <w:rFonts w:ascii="Ubuntu" w:hAnsi="Ubuntu"/>
          <w:lang w:val="en-US"/>
        </w:rPr>
        <w:t>" stands for set of controls for basic characteristics plus industry and occup</w:t>
      </w:r>
      <w:r w:rsidR="00610204" w:rsidRPr="00937098">
        <w:rPr>
          <w:rFonts w:ascii="Ubuntu" w:hAnsi="Ubuntu"/>
          <w:lang w:val="en-US"/>
        </w:rPr>
        <w:t>ation controls; "ind2</w:t>
      </w:r>
      <w:r w:rsidRPr="00937098">
        <w:rPr>
          <w:rFonts w:ascii="Ubuntu" w:hAnsi="Ubuntu"/>
          <w:lang w:val="en-US"/>
        </w:rPr>
        <w:t xml:space="preserve">occ" is the set that covers all available characteristics. </w:t>
      </w:r>
    </w:p>
    <w:p w:rsidR="00E95A94" w:rsidRDefault="00E95A94" w:rsidP="00937098">
      <w:pPr>
        <w:pStyle w:val="Akapitzlist"/>
        <w:numPr>
          <w:ilvl w:val="0"/>
          <w:numId w:val="1"/>
        </w:numPr>
        <w:jc w:val="both"/>
        <w:rPr>
          <w:rFonts w:ascii="Ubuntu" w:hAnsi="Ubuntu"/>
          <w:lang w:val="en-US"/>
        </w:rPr>
      </w:pPr>
      <w:proofErr w:type="spellStart"/>
      <w:r w:rsidRPr="00937098">
        <w:rPr>
          <w:rFonts w:ascii="Ubuntu" w:hAnsi="Ubuntu"/>
          <w:i/>
          <w:lang w:val="en-US"/>
        </w:rPr>
        <w:t>gwg</w:t>
      </w:r>
      <w:proofErr w:type="spellEnd"/>
      <w:r w:rsidRPr="00937098">
        <w:rPr>
          <w:rFonts w:ascii="Ubuntu" w:hAnsi="Ubuntu"/>
          <w:i/>
          <w:lang w:val="en-US"/>
        </w:rPr>
        <w:t>:</w:t>
      </w:r>
      <w:r w:rsidRPr="00937098">
        <w:rPr>
          <w:rFonts w:ascii="Ubuntu" w:hAnsi="Ubuntu"/>
          <w:lang w:val="en-US"/>
        </w:rPr>
        <w:t xml:space="preserve"> </w:t>
      </w:r>
      <w:r w:rsidR="00244720" w:rsidRPr="00937098">
        <w:rPr>
          <w:rFonts w:ascii="Ubuntu" w:hAnsi="Ubuntu"/>
          <w:lang w:val="en-US"/>
        </w:rPr>
        <w:t>numerical variable that indicates the estimate of t</w:t>
      </w:r>
      <w:r w:rsidR="00E37B84" w:rsidRPr="00937098">
        <w:rPr>
          <w:rFonts w:ascii="Ubuntu" w:hAnsi="Ubuntu"/>
          <w:lang w:val="en-US"/>
        </w:rPr>
        <w:t xml:space="preserve">he adjusted gender wage gap for </w:t>
      </w:r>
      <w:r w:rsidR="00244720" w:rsidRPr="00937098">
        <w:rPr>
          <w:rFonts w:ascii="Ubuntu" w:hAnsi="Ubuntu"/>
          <w:lang w:val="en-US"/>
        </w:rPr>
        <w:t xml:space="preserve">given country, in given year, under given methodological approach, and with given set of characteristics controlled. For each country in given year, there are 318 estimates of the GWG. </w:t>
      </w:r>
    </w:p>
    <w:p w:rsidR="00937098" w:rsidRDefault="00937098" w:rsidP="00937098">
      <w:pPr>
        <w:jc w:val="both"/>
        <w:rPr>
          <w:rFonts w:ascii="Ubuntu" w:hAnsi="Ubuntu"/>
          <w:lang w:val="en-US"/>
        </w:rPr>
      </w:pPr>
    </w:p>
    <w:p w:rsidR="00937098" w:rsidRDefault="00937098" w:rsidP="00937098">
      <w:pPr>
        <w:jc w:val="both"/>
        <w:rPr>
          <w:rFonts w:ascii="Ubuntu" w:hAnsi="Ubuntu"/>
          <w:b/>
          <w:lang w:val="en-US"/>
        </w:rPr>
      </w:pPr>
      <w:r w:rsidRPr="00937098">
        <w:rPr>
          <w:rFonts w:ascii="Ubuntu" w:hAnsi="Ubuntu"/>
          <w:b/>
          <w:lang w:val="en-US"/>
        </w:rPr>
        <w:t>Reference</w:t>
      </w:r>
      <w:r w:rsidR="00856B2C">
        <w:rPr>
          <w:rFonts w:ascii="Ubuntu" w:hAnsi="Ubuntu"/>
          <w:b/>
          <w:lang w:val="en-US"/>
        </w:rPr>
        <w:t>s</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Blinder, A. S., 1973. Wage discrimination: Reduced form and structural estimates.</w:t>
      </w:r>
      <w:r w:rsidRPr="00856B2C">
        <w:rPr>
          <w:rFonts w:ascii="Ubuntu" w:hAnsi="Ubuntu"/>
          <w:sz w:val="18"/>
          <w:lang w:val="en-US"/>
        </w:rPr>
        <w:t xml:space="preserve"> </w:t>
      </w:r>
      <w:r w:rsidRPr="00856B2C">
        <w:rPr>
          <w:rFonts w:ascii="Ubuntu" w:hAnsi="Ubuntu"/>
          <w:sz w:val="18"/>
          <w:lang w:val="en-US"/>
        </w:rPr>
        <w:t>Journal of Human Resources 8 (4), 436–455.</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Cotton, J., 1988. On the decomposition of wage di</w:t>
      </w:r>
      <w:r w:rsidRPr="00856B2C">
        <w:rPr>
          <w:rFonts w:ascii="Ubuntu" w:hAnsi="Ubuntu"/>
          <w:sz w:val="18"/>
          <w:lang w:val="en-US"/>
        </w:rPr>
        <w:t>ff</w:t>
      </w:r>
      <w:r w:rsidRPr="00856B2C">
        <w:rPr>
          <w:rFonts w:ascii="Ubuntu" w:hAnsi="Ubuntu"/>
          <w:sz w:val="18"/>
          <w:lang w:val="en-US"/>
        </w:rPr>
        <w:t>erentials. The Review of Economics</w:t>
      </w:r>
      <w:r w:rsidRPr="00856B2C">
        <w:rPr>
          <w:rFonts w:ascii="Ubuntu" w:hAnsi="Ubuntu"/>
          <w:sz w:val="18"/>
          <w:lang w:val="en-US"/>
        </w:rPr>
        <w:t xml:space="preserve"> </w:t>
      </w:r>
      <w:r w:rsidRPr="00856B2C">
        <w:rPr>
          <w:rFonts w:ascii="Ubuntu" w:hAnsi="Ubuntu"/>
          <w:sz w:val="18"/>
          <w:lang w:val="en-US"/>
        </w:rPr>
        <w:t>and Statistics, 236–243.</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DiNardo</w:t>
      </w:r>
      <w:proofErr w:type="spellEnd"/>
      <w:r w:rsidRPr="00856B2C">
        <w:rPr>
          <w:rFonts w:ascii="Ubuntu" w:hAnsi="Ubuntu"/>
          <w:sz w:val="18"/>
          <w:lang w:val="en-US"/>
        </w:rPr>
        <w:t>, J., Fortin, N. M., Lemieux, T., 1996. Labor market institutions and the distribution</w:t>
      </w:r>
      <w:r w:rsidRPr="00856B2C">
        <w:rPr>
          <w:rFonts w:ascii="Ubuntu" w:hAnsi="Ubuntu"/>
          <w:sz w:val="18"/>
          <w:lang w:val="en-US"/>
        </w:rPr>
        <w:t xml:space="preserve"> </w:t>
      </w:r>
      <w:r w:rsidRPr="00856B2C">
        <w:rPr>
          <w:rFonts w:ascii="Ubuntu" w:hAnsi="Ubuntu"/>
          <w:sz w:val="18"/>
          <w:lang w:val="en-US"/>
        </w:rPr>
        <w:t xml:space="preserve">of wages, 1973-1992: A </w:t>
      </w:r>
      <w:proofErr w:type="spellStart"/>
      <w:r w:rsidRPr="00856B2C">
        <w:rPr>
          <w:rFonts w:ascii="Ubuntu" w:hAnsi="Ubuntu"/>
          <w:sz w:val="18"/>
          <w:lang w:val="en-US"/>
        </w:rPr>
        <w:t>semiparametric</w:t>
      </w:r>
      <w:proofErr w:type="spellEnd"/>
      <w:r w:rsidRPr="00856B2C">
        <w:rPr>
          <w:rFonts w:ascii="Ubuntu" w:hAnsi="Ubuntu"/>
          <w:sz w:val="18"/>
          <w:lang w:val="en-US"/>
        </w:rPr>
        <w:t xml:space="preserve"> approach. </w:t>
      </w:r>
      <w:proofErr w:type="spellStart"/>
      <w:r w:rsidRPr="00856B2C">
        <w:rPr>
          <w:rFonts w:ascii="Ubuntu" w:hAnsi="Ubuntu"/>
          <w:sz w:val="18"/>
          <w:lang w:val="en-US"/>
        </w:rPr>
        <w:t>Econometrica</w:t>
      </w:r>
      <w:proofErr w:type="spellEnd"/>
      <w:r w:rsidRPr="00856B2C">
        <w:rPr>
          <w:rFonts w:ascii="Ubuntu" w:hAnsi="Ubuntu"/>
          <w:sz w:val="18"/>
          <w:lang w:val="en-US"/>
        </w:rPr>
        <w:t xml:space="preserve"> 64 (5),</w:t>
      </w:r>
      <w:r w:rsidRPr="00856B2C">
        <w:rPr>
          <w:rFonts w:ascii="Ubuntu" w:hAnsi="Ubuntu"/>
          <w:sz w:val="18"/>
          <w:lang w:val="en-US"/>
        </w:rPr>
        <w:t xml:space="preserve"> </w:t>
      </w:r>
      <w:r w:rsidRPr="00856B2C">
        <w:rPr>
          <w:rFonts w:ascii="Ubuntu" w:hAnsi="Ubuntu"/>
          <w:sz w:val="18"/>
          <w:lang w:val="en-US"/>
        </w:rPr>
        <w:t>1001–44.</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Fairlie</w:t>
      </w:r>
      <w:proofErr w:type="spellEnd"/>
      <w:r w:rsidRPr="00856B2C">
        <w:rPr>
          <w:rFonts w:ascii="Ubuntu" w:hAnsi="Ubuntu"/>
          <w:sz w:val="18"/>
          <w:lang w:val="en-US"/>
        </w:rPr>
        <w:t xml:space="preserve">, R.W., 1999. The absence of the </w:t>
      </w:r>
      <w:r>
        <w:rPr>
          <w:rFonts w:ascii="Ubuntu" w:hAnsi="Ubuntu"/>
          <w:sz w:val="18"/>
          <w:lang w:val="en-US"/>
        </w:rPr>
        <w:t>A</w:t>
      </w:r>
      <w:r w:rsidRPr="00856B2C">
        <w:rPr>
          <w:rFonts w:ascii="Ubuntu" w:hAnsi="Ubuntu"/>
          <w:sz w:val="18"/>
          <w:lang w:val="en-US"/>
        </w:rPr>
        <w:t>frican-</w:t>
      </w:r>
      <w:r>
        <w:rPr>
          <w:rFonts w:ascii="Ubuntu" w:hAnsi="Ubuntu"/>
          <w:sz w:val="18"/>
          <w:lang w:val="en-US"/>
        </w:rPr>
        <w:t>A</w:t>
      </w:r>
      <w:bookmarkStart w:id="0" w:name="_GoBack"/>
      <w:bookmarkEnd w:id="0"/>
      <w:r w:rsidRPr="00856B2C">
        <w:rPr>
          <w:rFonts w:ascii="Ubuntu" w:hAnsi="Ubuntu"/>
          <w:sz w:val="18"/>
          <w:lang w:val="en-US"/>
        </w:rPr>
        <w:t>merican owned business: An analysis</w:t>
      </w:r>
      <w:r w:rsidRPr="00856B2C">
        <w:rPr>
          <w:rFonts w:ascii="Ubuntu" w:hAnsi="Ubuntu"/>
          <w:sz w:val="18"/>
          <w:lang w:val="en-US"/>
        </w:rPr>
        <w:t xml:space="preserve"> </w:t>
      </w:r>
      <w:r w:rsidRPr="00856B2C">
        <w:rPr>
          <w:rFonts w:ascii="Ubuntu" w:hAnsi="Ubuntu"/>
          <w:sz w:val="18"/>
          <w:lang w:val="en-US"/>
        </w:rPr>
        <w:t>of the dynamics of self-employment. Journal of Labor Economics 17 (1), 80–108.</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Fairlie</w:t>
      </w:r>
      <w:proofErr w:type="spellEnd"/>
      <w:r w:rsidRPr="00856B2C">
        <w:rPr>
          <w:rFonts w:ascii="Ubuntu" w:hAnsi="Ubuntu"/>
          <w:sz w:val="18"/>
          <w:lang w:val="en-US"/>
        </w:rPr>
        <w:t xml:space="preserve">, R. W., 2005. An extension of the </w:t>
      </w:r>
      <w:proofErr w:type="spellStart"/>
      <w:r>
        <w:rPr>
          <w:rFonts w:ascii="Ubuntu" w:hAnsi="Ubuntu"/>
          <w:sz w:val="18"/>
          <w:lang w:val="en-US"/>
        </w:rPr>
        <w:t>Bb</w:t>
      </w:r>
      <w:r w:rsidRPr="00856B2C">
        <w:rPr>
          <w:rFonts w:ascii="Ubuntu" w:hAnsi="Ubuntu"/>
          <w:sz w:val="18"/>
          <w:lang w:val="en-US"/>
        </w:rPr>
        <w:t>linder</w:t>
      </w:r>
      <w:proofErr w:type="spellEnd"/>
      <w:r w:rsidRPr="00856B2C">
        <w:rPr>
          <w:rFonts w:ascii="Ubuntu" w:hAnsi="Ubuntu"/>
          <w:sz w:val="18"/>
          <w:lang w:val="en-US"/>
        </w:rPr>
        <w:t>-</w:t>
      </w:r>
      <w:r>
        <w:rPr>
          <w:rFonts w:ascii="Ubuntu" w:hAnsi="Ubuntu"/>
          <w:sz w:val="18"/>
          <w:lang w:val="en-US"/>
        </w:rPr>
        <w:t>O</w:t>
      </w:r>
      <w:r w:rsidRPr="00856B2C">
        <w:rPr>
          <w:rFonts w:ascii="Ubuntu" w:hAnsi="Ubuntu"/>
          <w:sz w:val="18"/>
          <w:lang w:val="en-US"/>
        </w:rPr>
        <w:t>axaca decomposition technique to</w:t>
      </w:r>
      <w:r w:rsidRPr="00856B2C">
        <w:rPr>
          <w:rFonts w:ascii="Ubuntu" w:hAnsi="Ubuntu"/>
          <w:sz w:val="18"/>
          <w:lang w:val="en-US"/>
        </w:rPr>
        <w:t xml:space="preserve"> </w:t>
      </w:r>
      <w:proofErr w:type="spellStart"/>
      <w:r w:rsidRPr="00856B2C">
        <w:rPr>
          <w:rFonts w:ascii="Ubuntu" w:hAnsi="Ubuntu"/>
          <w:sz w:val="18"/>
          <w:lang w:val="en-US"/>
        </w:rPr>
        <w:t>logit</w:t>
      </w:r>
      <w:proofErr w:type="spellEnd"/>
      <w:r w:rsidRPr="00856B2C">
        <w:rPr>
          <w:rFonts w:ascii="Ubuntu" w:hAnsi="Ubuntu"/>
          <w:sz w:val="18"/>
          <w:lang w:val="en-US"/>
        </w:rPr>
        <w:t xml:space="preserve"> and </w:t>
      </w:r>
      <w:proofErr w:type="spellStart"/>
      <w:r w:rsidRPr="00856B2C">
        <w:rPr>
          <w:rFonts w:ascii="Ubuntu" w:hAnsi="Ubuntu"/>
          <w:sz w:val="18"/>
          <w:lang w:val="en-US"/>
        </w:rPr>
        <w:t>probit</w:t>
      </w:r>
      <w:proofErr w:type="spellEnd"/>
      <w:r w:rsidRPr="00856B2C">
        <w:rPr>
          <w:rFonts w:ascii="Ubuntu" w:hAnsi="Ubuntu"/>
          <w:sz w:val="18"/>
          <w:lang w:val="en-US"/>
        </w:rPr>
        <w:t xml:space="preserve"> models. Journal of Economic and Social Measurement 30 (4), 305–316.</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Firpo</w:t>
      </w:r>
      <w:proofErr w:type="spellEnd"/>
      <w:r w:rsidRPr="00856B2C">
        <w:rPr>
          <w:rFonts w:ascii="Ubuntu" w:hAnsi="Ubuntu"/>
          <w:sz w:val="18"/>
          <w:lang w:val="en-US"/>
        </w:rPr>
        <w:t>, S., Fortin, N. M., Lemieux, T., 2009. Unco</w:t>
      </w:r>
      <w:r w:rsidRPr="00856B2C">
        <w:rPr>
          <w:rFonts w:ascii="Ubuntu" w:hAnsi="Ubuntu"/>
          <w:sz w:val="18"/>
          <w:lang w:val="en-US"/>
        </w:rPr>
        <w:t xml:space="preserve">nditional </w:t>
      </w:r>
      <w:proofErr w:type="spellStart"/>
      <w:r w:rsidRPr="00856B2C">
        <w:rPr>
          <w:rFonts w:ascii="Ubuntu" w:hAnsi="Ubuntu"/>
          <w:sz w:val="18"/>
          <w:lang w:val="en-US"/>
        </w:rPr>
        <w:t>Quantile</w:t>
      </w:r>
      <w:proofErr w:type="spellEnd"/>
      <w:r w:rsidRPr="00856B2C">
        <w:rPr>
          <w:rFonts w:ascii="Ubuntu" w:hAnsi="Ubuntu"/>
          <w:sz w:val="18"/>
          <w:lang w:val="en-US"/>
        </w:rPr>
        <w:t xml:space="preserve"> Regressions. </w:t>
      </w:r>
      <w:proofErr w:type="spellStart"/>
      <w:r w:rsidRPr="00856B2C">
        <w:rPr>
          <w:rFonts w:ascii="Ubuntu" w:hAnsi="Ubuntu"/>
          <w:sz w:val="18"/>
          <w:lang w:val="en-US"/>
        </w:rPr>
        <w:t>Econometrica</w:t>
      </w:r>
      <w:proofErr w:type="spellEnd"/>
      <w:r w:rsidRPr="00856B2C">
        <w:rPr>
          <w:rFonts w:ascii="Ubuntu" w:hAnsi="Ubuntu"/>
          <w:sz w:val="18"/>
          <w:lang w:val="en-US"/>
        </w:rPr>
        <w:t xml:space="preserve"> 77 (3), 953–973.</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 xml:space="preserve">Fortin, N., Lemieux, T., </w:t>
      </w:r>
      <w:proofErr w:type="spellStart"/>
      <w:r w:rsidRPr="00856B2C">
        <w:rPr>
          <w:rFonts w:ascii="Ubuntu" w:hAnsi="Ubuntu"/>
          <w:sz w:val="18"/>
          <w:lang w:val="en-US"/>
        </w:rPr>
        <w:t>Firpo</w:t>
      </w:r>
      <w:proofErr w:type="spellEnd"/>
      <w:r w:rsidRPr="00856B2C">
        <w:rPr>
          <w:rFonts w:ascii="Ubuntu" w:hAnsi="Ubuntu"/>
          <w:sz w:val="18"/>
          <w:lang w:val="en-US"/>
        </w:rPr>
        <w:t>, S., 2011. Decompos</w:t>
      </w:r>
      <w:r w:rsidRPr="00856B2C">
        <w:rPr>
          <w:rFonts w:ascii="Ubuntu" w:hAnsi="Ubuntu"/>
          <w:sz w:val="18"/>
          <w:lang w:val="en-US"/>
        </w:rPr>
        <w:t xml:space="preserve">ition methods in economics. In: </w:t>
      </w:r>
      <w:r w:rsidRPr="00856B2C">
        <w:rPr>
          <w:rFonts w:ascii="Ubuntu" w:hAnsi="Ubuntu"/>
          <w:sz w:val="18"/>
          <w:lang w:val="en-US"/>
        </w:rPr>
        <w:t>Handbook of Labor Economics. Elsevier, pp. 1–102.</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Fortin, N. M., 2008. The Gender Wage Gap among You</w:t>
      </w:r>
      <w:r w:rsidRPr="00856B2C">
        <w:rPr>
          <w:rFonts w:ascii="Ubuntu" w:hAnsi="Ubuntu"/>
          <w:sz w:val="18"/>
          <w:lang w:val="en-US"/>
        </w:rPr>
        <w:t xml:space="preserve">ng Adults in the United States: </w:t>
      </w:r>
      <w:r w:rsidRPr="00856B2C">
        <w:rPr>
          <w:rFonts w:ascii="Ubuntu" w:hAnsi="Ubuntu"/>
          <w:sz w:val="18"/>
          <w:lang w:val="en-US"/>
        </w:rPr>
        <w:t>The Importance of Money versus People. Journal of Human Resources 43 (4).</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Heckman, J. J., 1979. Sample selection bias as a sp</w:t>
      </w:r>
      <w:r w:rsidRPr="00856B2C">
        <w:rPr>
          <w:rFonts w:ascii="Ubuntu" w:hAnsi="Ubuntu"/>
          <w:sz w:val="18"/>
          <w:lang w:val="en-US"/>
        </w:rPr>
        <w:t xml:space="preserve">ecification error. </w:t>
      </w:r>
      <w:proofErr w:type="spellStart"/>
      <w:r w:rsidRPr="00856B2C">
        <w:rPr>
          <w:rFonts w:ascii="Ubuntu" w:hAnsi="Ubuntu"/>
          <w:sz w:val="18"/>
          <w:lang w:val="en-US"/>
        </w:rPr>
        <w:t>Econometrica</w:t>
      </w:r>
      <w:proofErr w:type="spellEnd"/>
      <w:r w:rsidRPr="00856B2C">
        <w:rPr>
          <w:rFonts w:ascii="Ubuntu" w:hAnsi="Ubuntu"/>
          <w:sz w:val="18"/>
          <w:lang w:val="en-US"/>
        </w:rPr>
        <w:t xml:space="preserve"> </w:t>
      </w:r>
      <w:r w:rsidRPr="00856B2C">
        <w:rPr>
          <w:rFonts w:ascii="Ubuntu" w:hAnsi="Ubuntu"/>
          <w:sz w:val="18"/>
          <w:lang w:val="en-US"/>
        </w:rPr>
        <w:t>47 (1), 153–61.</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Juhn</w:t>
      </w:r>
      <w:proofErr w:type="spellEnd"/>
      <w:r w:rsidRPr="00856B2C">
        <w:rPr>
          <w:rFonts w:ascii="Ubuntu" w:hAnsi="Ubuntu"/>
          <w:sz w:val="18"/>
          <w:lang w:val="en-US"/>
        </w:rPr>
        <w:t>, C., Murphy, K. M., Pierce, B., 1993. Wage Inequality and the Ri</w:t>
      </w:r>
      <w:r w:rsidRPr="00856B2C">
        <w:rPr>
          <w:rFonts w:ascii="Ubuntu" w:hAnsi="Ubuntu"/>
          <w:sz w:val="18"/>
          <w:lang w:val="en-US"/>
        </w:rPr>
        <w:t xml:space="preserve">se in Returns to </w:t>
      </w:r>
      <w:r w:rsidRPr="00856B2C">
        <w:rPr>
          <w:rFonts w:ascii="Ubuntu" w:hAnsi="Ubuntu"/>
          <w:sz w:val="18"/>
          <w:lang w:val="en-US"/>
        </w:rPr>
        <w:t>Skill. Journal of Political Economy 101 (3), 410.</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Lemieux, T., June 2006. Increasing residual wage inequality: Composition e</w:t>
      </w:r>
      <w:r w:rsidRPr="00856B2C">
        <w:rPr>
          <w:rFonts w:ascii="Ubuntu" w:hAnsi="Ubuntu"/>
          <w:sz w:val="18"/>
          <w:lang w:val="en-US"/>
        </w:rPr>
        <w:t>ff</w:t>
      </w:r>
      <w:r w:rsidRPr="00856B2C">
        <w:rPr>
          <w:rFonts w:ascii="Ubuntu" w:hAnsi="Ubuntu"/>
          <w:sz w:val="18"/>
          <w:lang w:val="en-US"/>
        </w:rPr>
        <w:t>ects,</w:t>
      </w:r>
      <w:r w:rsidRPr="00856B2C">
        <w:rPr>
          <w:rFonts w:ascii="Ubuntu" w:hAnsi="Ubuntu"/>
          <w:sz w:val="18"/>
          <w:lang w:val="en-US"/>
        </w:rPr>
        <w:t xml:space="preserve"> </w:t>
      </w:r>
      <w:r w:rsidRPr="00856B2C">
        <w:rPr>
          <w:rFonts w:ascii="Ubuntu" w:hAnsi="Ubuntu"/>
          <w:sz w:val="18"/>
          <w:lang w:val="en-US"/>
        </w:rPr>
        <w:t>noisy data, or rising demand for skill? American Economic Review 96 (3), 461–498.</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Machado, J. A., Mata, J., 2005. Counterfactual decomposition of changes in wage</w:t>
      </w:r>
      <w:r w:rsidRPr="00856B2C">
        <w:rPr>
          <w:rFonts w:ascii="Ubuntu" w:hAnsi="Ubuntu"/>
          <w:sz w:val="18"/>
          <w:lang w:val="en-US"/>
        </w:rPr>
        <w:t xml:space="preserve"> </w:t>
      </w:r>
      <w:r w:rsidRPr="00856B2C">
        <w:rPr>
          <w:rFonts w:ascii="Ubuntu" w:hAnsi="Ubuntu"/>
          <w:sz w:val="18"/>
          <w:lang w:val="en-US"/>
        </w:rPr>
        <w:t xml:space="preserve">distributions using </w:t>
      </w:r>
      <w:proofErr w:type="spellStart"/>
      <w:r w:rsidRPr="00856B2C">
        <w:rPr>
          <w:rFonts w:ascii="Ubuntu" w:hAnsi="Ubuntu"/>
          <w:sz w:val="18"/>
          <w:lang w:val="en-US"/>
        </w:rPr>
        <w:t>quantile</w:t>
      </w:r>
      <w:proofErr w:type="spellEnd"/>
      <w:r w:rsidRPr="00856B2C">
        <w:rPr>
          <w:rFonts w:ascii="Ubuntu" w:hAnsi="Ubuntu"/>
          <w:sz w:val="18"/>
          <w:lang w:val="en-US"/>
        </w:rPr>
        <w:t xml:space="preserve"> regression. Journal of applied Econometrics 20 (4), 445–</w:t>
      </w:r>
      <w:r w:rsidRPr="00856B2C">
        <w:rPr>
          <w:rFonts w:ascii="Ubuntu" w:hAnsi="Ubuntu"/>
          <w:sz w:val="18"/>
          <w:lang w:val="en-US"/>
        </w:rPr>
        <w:t xml:space="preserve"> </w:t>
      </w:r>
      <w:r w:rsidRPr="00856B2C">
        <w:rPr>
          <w:rFonts w:ascii="Ubuntu" w:hAnsi="Ubuntu"/>
          <w:sz w:val="18"/>
          <w:lang w:val="en-US"/>
        </w:rPr>
        <w:t>465.</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Neumark</w:t>
      </w:r>
      <w:proofErr w:type="spellEnd"/>
      <w:r w:rsidRPr="00856B2C">
        <w:rPr>
          <w:rFonts w:ascii="Ubuntu" w:hAnsi="Ubuntu"/>
          <w:sz w:val="18"/>
          <w:lang w:val="en-US"/>
        </w:rPr>
        <w:t>, D., 1988. Employers’ discriminatory behavior and the estimation of wage</w:t>
      </w:r>
      <w:r w:rsidRPr="00856B2C">
        <w:rPr>
          <w:rFonts w:ascii="Ubuntu" w:hAnsi="Ubuntu"/>
          <w:sz w:val="18"/>
          <w:lang w:val="en-US"/>
        </w:rPr>
        <w:t xml:space="preserve"> </w:t>
      </w:r>
      <w:r w:rsidRPr="00856B2C">
        <w:rPr>
          <w:rFonts w:ascii="Ubuntu" w:hAnsi="Ubuntu"/>
          <w:sz w:val="18"/>
          <w:lang w:val="en-US"/>
        </w:rPr>
        <w:t>discrimination. Journal of Human Resources, 279–295.</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Nopo</w:t>
      </w:r>
      <w:proofErr w:type="spellEnd"/>
      <w:r w:rsidRPr="00856B2C">
        <w:rPr>
          <w:rFonts w:ascii="Ubuntu" w:hAnsi="Ubuntu"/>
          <w:sz w:val="18"/>
          <w:lang w:val="en-US"/>
        </w:rPr>
        <w:t xml:space="preserve">, H., 2008.Matching as a tool to decompose wage gaps. The </w:t>
      </w:r>
      <w:r w:rsidRPr="00856B2C">
        <w:rPr>
          <w:rFonts w:ascii="Ubuntu" w:hAnsi="Ubuntu"/>
          <w:sz w:val="18"/>
          <w:lang w:val="en-US"/>
        </w:rPr>
        <w:t>R</w:t>
      </w:r>
      <w:r w:rsidRPr="00856B2C">
        <w:rPr>
          <w:rFonts w:ascii="Ubuntu" w:hAnsi="Ubuntu"/>
          <w:sz w:val="18"/>
          <w:lang w:val="en-US"/>
        </w:rPr>
        <w:t xml:space="preserve">eview of </w:t>
      </w:r>
      <w:r w:rsidRPr="00856B2C">
        <w:rPr>
          <w:rFonts w:ascii="Ubuntu" w:hAnsi="Ubuntu"/>
          <w:sz w:val="18"/>
          <w:lang w:val="en-US"/>
        </w:rPr>
        <w:t>E</w:t>
      </w:r>
      <w:r w:rsidRPr="00856B2C">
        <w:rPr>
          <w:rFonts w:ascii="Ubuntu" w:hAnsi="Ubuntu"/>
          <w:sz w:val="18"/>
          <w:lang w:val="en-US"/>
        </w:rPr>
        <w:t>conomics</w:t>
      </w:r>
      <w:r w:rsidRPr="00856B2C">
        <w:rPr>
          <w:rFonts w:ascii="Ubuntu" w:hAnsi="Ubuntu"/>
          <w:sz w:val="18"/>
          <w:lang w:val="en-US"/>
        </w:rPr>
        <w:t xml:space="preserve"> </w:t>
      </w:r>
      <w:r w:rsidRPr="00856B2C">
        <w:rPr>
          <w:rFonts w:ascii="Ubuntu" w:hAnsi="Ubuntu"/>
          <w:sz w:val="18"/>
          <w:lang w:val="en-US"/>
        </w:rPr>
        <w:t xml:space="preserve">and </w:t>
      </w:r>
      <w:r w:rsidRPr="00856B2C">
        <w:rPr>
          <w:rFonts w:ascii="Ubuntu" w:hAnsi="Ubuntu"/>
          <w:sz w:val="18"/>
          <w:lang w:val="en-US"/>
        </w:rPr>
        <w:t>S</w:t>
      </w:r>
      <w:r w:rsidRPr="00856B2C">
        <w:rPr>
          <w:rFonts w:ascii="Ubuntu" w:hAnsi="Ubuntu"/>
          <w:sz w:val="18"/>
          <w:lang w:val="en-US"/>
        </w:rPr>
        <w:t>tatistics 90 (2), 290–299.</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Oaxaca, R., 1973. Male-female wage di</w:t>
      </w:r>
      <w:r w:rsidRPr="00856B2C">
        <w:rPr>
          <w:rFonts w:ascii="Ubuntu" w:hAnsi="Ubuntu"/>
          <w:sz w:val="18"/>
          <w:lang w:val="en-US"/>
        </w:rPr>
        <w:t>ff</w:t>
      </w:r>
      <w:r w:rsidRPr="00856B2C">
        <w:rPr>
          <w:rFonts w:ascii="Ubuntu" w:hAnsi="Ubuntu"/>
          <w:sz w:val="18"/>
          <w:lang w:val="en-US"/>
        </w:rPr>
        <w:t>erentials in urban labor markets. International</w:t>
      </w:r>
      <w:r w:rsidRPr="00856B2C">
        <w:rPr>
          <w:rFonts w:ascii="Ubuntu" w:hAnsi="Ubuntu"/>
          <w:sz w:val="18"/>
          <w:lang w:val="en-US"/>
        </w:rPr>
        <w:t xml:space="preserve"> </w:t>
      </w:r>
      <w:r w:rsidRPr="00856B2C">
        <w:rPr>
          <w:rFonts w:ascii="Ubuntu" w:hAnsi="Ubuntu"/>
          <w:sz w:val="18"/>
          <w:lang w:val="en-US"/>
        </w:rPr>
        <w:t>Economic Review 14 (3), 693–709.</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lang w:val="en-US"/>
        </w:rPr>
        <w:t>Oaxaca, R. L., Ransom, M. R., 1988. Searching for the e</w:t>
      </w:r>
      <w:r w:rsidRPr="00856B2C">
        <w:rPr>
          <w:rFonts w:ascii="Ubuntu" w:hAnsi="Ubuntu"/>
          <w:sz w:val="18"/>
          <w:lang w:val="en-US"/>
        </w:rPr>
        <w:t>ff</w:t>
      </w:r>
      <w:r w:rsidRPr="00856B2C">
        <w:rPr>
          <w:rFonts w:ascii="Ubuntu" w:hAnsi="Ubuntu"/>
          <w:sz w:val="18"/>
          <w:lang w:val="en-US"/>
        </w:rPr>
        <w:t>ect of unionism on the wages</w:t>
      </w:r>
      <w:r w:rsidRPr="00856B2C">
        <w:rPr>
          <w:rFonts w:ascii="Ubuntu" w:hAnsi="Ubuntu"/>
          <w:sz w:val="18"/>
          <w:lang w:val="en-US"/>
        </w:rPr>
        <w:t xml:space="preserve"> </w:t>
      </w:r>
      <w:r w:rsidRPr="00856B2C">
        <w:rPr>
          <w:rFonts w:ascii="Ubuntu" w:hAnsi="Ubuntu"/>
          <w:sz w:val="18"/>
          <w:lang w:val="en-US"/>
        </w:rPr>
        <w:t>of union and nonunion workers. Journal of Labor Research 9 (2), 139–148.</w:t>
      </w:r>
    </w:p>
    <w:p w:rsidR="00856B2C" w:rsidRPr="00856B2C" w:rsidRDefault="00856B2C" w:rsidP="00856B2C">
      <w:pPr>
        <w:spacing w:after="0"/>
        <w:ind w:left="706" w:hanging="706"/>
        <w:jc w:val="both"/>
        <w:rPr>
          <w:rFonts w:ascii="Ubuntu" w:hAnsi="Ubuntu"/>
          <w:sz w:val="18"/>
          <w:lang w:val="en-US"/>
        </w:rPr>
      </w:pPr>
      <w:r w:rsidRPr="00856B2C">
        <w:rPr>
          <w:rFonts w:ascii="Ubuntu" w:hAnsi="Ubuntu"/>
          <w:sz w:val="18"/>
        </w:rPr>
        <w:t>O</w:t>
      </w:r>
      <w:r w:rsidRPr="00856B2C">
        <w:rPr>
          <w:rFonts w:ascii="Ubuntu" w:hAnsi="Ubuntu"/>
          <w:sz w:val="18"/>
        </w:rPr>
        <w:t xml:space="preserve">axaca, R. L., </w:t>
      </w:r>
      <w:proofErr w:type="spellStart"/>
      <w:r w:rsidRPr="00856B2C">
        <w:rPr>
          <w:rFonts w:ascii="Ubuntu" w:hAnsi="Ubuntu"/>
          <w:sz w:val="18"/>
        </w:rPr>
        <w:t>Ransom</w:t>
      </w:r>
      <w:proofErr w:type="spellEnd"/>
      <w:r w:rsidRPr="00856B2C">
        <w:rPr>
          <w:rFonts w:ascii="Ubuntu" w:hAnsi="Ubuntu"/>
          <w:sz w:val="18"/>
        </w:rPr>
        <w:t xml:space="preserve">, M. R., 1994. </w:t>
      </w:r>
      <w:r w:rsidRPr="00856B2C">
        <w:rPr>
          <w:rFonts w:ascii="Ubuntu" w:hAnsi="Ubuntu"/>
          <w:sz w:val="18"/>
          <w:lang w:val="en-US"/>
        </w:rPr>
        <w:t>On discrimination and the decomposition of wage</w:t>
      </w:r>
      <w:r w:rsidRPr="00856B2C">
        <w:rPr>
          <w:rFonts w:ascii="Ubuntu" w:hAnsi="Ubuntu"/>
          <w:sz w:val="18"/>
          <w:lang w:val="en-US"/>
        </w:rPr>
        <w:t xml:space="preserve"> </w:t>
      </w:r>
      <w:r w:rsidRPr="00856B2C">
        <w:rPr>
          <w:rFonts w:ascii="Ubuntu" w:hAnsi="Ubuntu"/>
          <w:sz w:val="18"/>
          <w:lang w:val="en-US"/>
        </w:rPr>
        <w:t>di</w:t>
      </w:r>
      <w:r w:rsidRPr="00856B2C">
        <w:rPr>
          <w:rFonts w:ascii="Ubuntu" w:hAnsi="Ubuntu"/>
          <w:sz w:val="18"/>
          <w:lang w:val="en-US"/>
        </w:rPr>
        <w:t>ff</w:t>
      </w:r>
      <w:r w:rsidRPr="00856B2C">
        <w:rPr>
          <w:rFonts w:ascii="Ubuntu" w:hAnsi="Ubuntu"/>
          <w:sz w:val="18"/>
          <w:lang w:val="en-US"/>
        </w:rPr>
        <w:t>erentials. Journal of Econometrics 61 (1), 5–21.</w:t>
      </w:r>
    </w:p>
    <w:p w:rsidR="00856B2C"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Reimers</w:t>
      </w:r>
      <w:proofErr w:type="spellEnd"/>
      <w:r w:rsidRPr="00856B2C">
        <w:rPr>
          <w:rFonts w:ascii="Ubuntu" w:hAnsi="Ubuntu"/>
          <w:sz w:val="18"/>
          <w:lang w:val="en-US"/>
        </w:rPr>
        <w:t xml:space="preserve">, C. W., 1983. Labor market discrimination against </w:t>
      </w:r>
      <w:r w:rsidRPr="00856B2C">
        <w:rPr>
          <w:rFonts w:ascii="Ubuntu" w:hAnsi="Ubuntu"/>
          <w:sz w:val="18"/>
          <w:lang w:val="en-US"/>
        </w:rPr>
        <w:t>H</w:t>
      </w:r>
      <w:r w:rsidRPr="00856B2C">
        <w:rPr>
          <w:rFonts w:ascii="Ubuntu" w:hAnsi="Ubuntu"/>
          <w:sz w:val="18"/>
          <w:lang w:val="en-US"/>
        </w:rPr>
        <w:t xml:space="preserve">ispanic and </w:t>
      </w:r>
      <w:r w:rsidRPr="00856B2C">
        <w:rPr>
          <w:rFonts w:ascii="Ubuntu" w:hAnsi="Ubuntu"/>
          <w:sz w:val="18"/>
          <w:lang w:val="en-US"/>
        </w:rPr>
        <w:t>B</w:t>
      </w:r>
      <w:r w:rsidRPr="00856B2C">
        <w:rPr>
          <w:rFonts w:ascii="Ubuntu" w:hAnsi="Ubuntu"/>
          <w:sz w:val="18"/>
          <w:lang w:val="en-US"/>
        </w:rPr>
        <w:t>lack men.</w:t>
      </w:r>
      <w:r w:rsidRPr="00856B2C">
        <w:rPr>
          <w:rFonts w:ascii="Ubuntu" w:hAnsi="Ubuntu"/>
          <w:sz w:val="18"/>
          <w:lang w:val="en-US"/>
        </w:rPr>
        <w:t xml:space="preserve"> </w:t>
      </w:r>
      <w:r w:rsidRPr="00856B2C">
        <w:rPr>
          <w:rFonts w:ascii="Ubuntu" w:hAnsi="Ubuntu"/>
          <w:sz w:val="18"/>
          <w:lang w:val="en-US"/>
        </w:rPr>
        <w:t>The Review of Economics and Statistics 65 (4), 570–579.</w:t>
      </w:r>
    </w:p>
    <w:p w:rsidR="00937098" w:rsidRPr="00856B2C" w:rsidRDefault="00856B2C" w:rsidP="00856B2C">
      <w:pPr>
        <w:spacing w:after="0"/>
        <w:ind w:left="706" w:hanging="706"/>
        <w:jc w:val="both"/>
        <w:rPr>
          <w:rFonts w:ascii="Ubuntu" w:hAnsi="Ubuntu"/>
          <w:sz w:val="18"/>
          <w:lang w:val="en-US"/>
        </w:rPr>
      </w:pPr>
      <w:proofErr w:type="spellStart"/>
      <w:r w:rsidRPr="00856B2C">
        <w:rPr>
          <w:rFonts w:ascii="Ubuntu" w:hAnsi="Ubuntu"/>
          <w:sz w:val="18"/>
          <w:lang w:val="en-US"/>
        </w:rPr>
        <w:t>Słoczy</w:t>
      </w:r>
      <w:r w:rsidRPr="00856B2C">
        <w:rPr>
          <w:rFonts w:ascii="Ubuntu" w:hAnsi="Ubuntu"/>
          <w:sz w:val="18"/>
          <w:lang w:val="en-US"/>
        </w:rPr>
        <w:t>n</w:t>
      </w:r>
      <w:r w:rsidRPr="00856B2C">
        <w:rPr>
          <w:rFonts w:ascii="Ubuntu" w:hAnsi="Ubuntu"/>
          <w:sz w:val="18"/>
          <w:lang w:val="en-US"/>
        </w:rPr>
        <w:t>ski</w:t>
      </w:r>
      <w:proofErr w:type="spellEnd"/>
      <w:r w:rsidRPr="00856B2C">
        <w:rPr>
          <w:rFonts w:ascii="Ubuntu" w:hAnsi="Ubuntu"/>
          <w:sz w:val="18"/>
          <w:lang w:val="en-US"/>
        </w:rPr>
        <w:t xml:space="preserve">, T., 2015. The </w:t>
      </w:r>
      <w:r w:rsidRPr="00856B2C">
        <w:rPr>
          <w:rFonts w:ascii="Ubuntu" w:hAnsi="Ubuntu"/>
          <w:sz w:val="18"/>
          <w:lang w:val="en-US"/>
        </w:rPr>
        <w:t>O</w:t>
      </w:r>
      <w:r w:rsidRPr="00856B2C">
        <w:rPr>
          <w:rFonts w:ascii="Ubuntu" w:hAnsi="Ubuntu"/>
          <w:sz w:val="18"/>
          <w:lang w:val="en-US"/>
        </w:rPr>
        <w:t>axaca–</w:t>
      </w:r>
      <w:r w:rsidRPr="00856B2C">
        <w:rPr>
          <w:rFonts w:ascii="Ubuntu" w:hAnsi="Ubuntu"/>
          <w:sz w:val="18"/>
          <w:lang w:val="en-US"/>
        </w:rPr>
        <w:t>B</w:t>
      </w:r>
      <w:r w:rsidRPr="00856B2C">
        <w:rPr>
          <w:rFonts w:ascii="Ubuntu" w:hAnsi="Ubuntu"/>
          <w:sz w:val="18"/>
          <w:lang w:val="en-US"/>
        </w:rPr>
        <w:t>linder unexplained component as a treatment e</w:t>
      </w:r>
      <w:r w:rsidRPr="00856B2C">
        <w:rPr>
          <w:rFonts w:ascii="Ubuntu" w:hAnsi="Ubuntu"/>
          <w:sz w:val="18"/>
          <w:lang w:val="en-US"/>
        </w:rPr>
        <w:t>ff</w:t>
      </w:r>
      <w:r w:rsidRPr="00856B2C">
        <w:rPr>
          <w:rFonts w:ascii="Ubuntu" w:hAnsi="Ubuntu"/>
          <w:sz w:val="18"/>
          <w:lang w:val="en-US"/>
        </w:rPr>
        <w:t>ects</w:t>
      </w:r>
      <w:r w:rsidRPr="00856B2C">
        <w:rPr>
          <w:rFonts w:ascii="Ubuntu" w:hAnsi="Ubuntu"/>
          <w:sz w:val="18"/>
          <w:lang w:val="en-US"/>
        </w:rPr>
        <w:t xml:space="preserve"> </w:t>
      </w:r>
      <w:r w:rsidRPr="00856B2C">
        <w:rPr>
          <w:rFonts w:ascii="Ubuntu" w:hAnsi="Ubuntu"/>
          <w:sz w:val="18"/>
          <w:lang w:val="en-US"/>
        </w:rPr>
        <w:t>estimator. Oxford Bulletin of Economics and Statistics 77 (4), 588–604.</w:t>
      </w:r>
    </w:p>
    <w:sectPr w:rsidR="00937098" w:rsidRPr="00856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EE"/>
    <w:family w:val="swiss"/>
    <w:pitch w:val="variable"/>
    <w:sig w:usb0="E00002FF" w:usb1="5000205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76C"/>
    <w:multiLevelType w:val="hybridMultilevel"/>
    <w:tmpl w:val="0240C7D4"/>
    <w:lvl w:ilvl="0" w:tplc="912CCA3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E6"/>
    <w:rsid w:val="00004A56"/>
    <w:rsid w:val="00011289"/>
    <w:rsid w:val="000124E5"/>
    <w:rsid w:val="0001277D"/>
    <w:rsid w:val="000232F9"/>
    <w:rsid w:val="00031ADE"/>
    <w:rsid w:val="00034033"/>
    <w:rsid w:val="00040512"/>
    <w:rsid w:val="000408FC"/>
    <w:rsid w:val="00042758"/>
    <w:rsid w:val="0004317F"/>
    <w:rsid w:val="000441DB"/>
    <w:rsid w:val="0004433A"/>
    <w:rsid w:val="00046D9C"/>
    <w:rsid w:val="00050953"/>
    <w:rsid w:val="00051E19"/>
    <w:rsid w:val="00055125"/>
    <w:rsid w:val="00057A37"/>
    <w:rsid w:val="000601B0"/>
    <w:rsid w:val="000604AC"/>
    <w:rsid w:val="00060F8E"/>
    <w:rsid w:val="000628D0"/>
    <w:rsid w:val="000678CC"/>
    <w:rsid w:val="00071165"/>
    <w:rsid w:val="00071AF6"/>
    <w:rsid w:val="00073127"/>
    <w:rsid w:val="000733AC"/>
    <w:rsid w:val="00075166"/>
    <w:rsid w:val="00080BA1"/>
    <w:rsid w:val="00082BF7"/>
    <w:rsid w:val="00083A3E"/>
    <w:rsid w:val="000A2DE3"/>
    <w:rsid w:val="000B4209"/>
    <w:rsid w:val="000C3191"/>
    <w:rsid w:val="000D76D0"/>
    <w:rsid w:val="000E17DD"/>
    <w:rsid w:val="000E6B52"/>
    <w:rsid w:val="000F07C8"/>
    <w:rsid w:val="000F2666"/>
    <w:rsid w:val="000F7E61"/>
    <w:rsid w:val="001020D9"/>
    <w:rsid w:val="001030EF"/>
    <w:rsid w:val="001109B9"/>
    <w:rsid w:val="00111158"/>
    <w:rsid w:val="001113DE"/>
    <w:rsid w:val="00123243"/>
    <w:rsid w:val="00155C53"/>
    <w:rsid w:val="00162F23"/>
    <w:rsid w:val="00163806"/>
    <w:rsid w:val="00166A00"/>
    <w:rsid w:val="00167150"/>
    <w:rsid w:val="00173D35"/>
    <w:rsid w:val="00174117"/>
    <w:rsid w:val="00175DB4"/>
    <w:rsid w:val="00176A78"/>
    <w:rsid w:val="00177E15"/>
    <w:rsid w:val="001848DC"/>
    <w:rsid w:val="00185F62"/>
    <w:rsid w:val="0019691B"/>
    <w:rsid w:val="001A0A73"/>
    <w:rsid w:val="001A0CD8"/>
    <w:rsid w:val="001B3713"/>
    <w:rsid w:val="001B6065"/>
    <w:rsid w:val="001B6B16"/>
    <w:rsid w:val="001C6BAD"/>
    <w:rsid w:val="001C731F"/>
    <w:rsid w:val="001D0859"/>
    <w:rsid w:val="001D3E0D"/>
    <w:rsid w:val="001D4D2D"/>
    <w:rsid w:val="001D54F5"/>
    <w:rsid w:val="001D6A40"/>
    <w:rsid w:val="001E2B44"/>
    <w:rsid w:val="001E4282"/>
    <w:rsid w:val="001E5A17"/>
    <w:rsid w:val="001F08F8"/>
    <w:rsid w:val="001F2B87"/>
    <w:rsid w:val="001F3BC9"/>
    <w:rsid w:val="001F5B26"/>
    <w:rsid w:val="00201669"/>
    <w:rsid w:val="002031FA"/>
    <w:rsid w:val="00206197"/>
    <w:rsid w:val="00207013"/>
    <w:rsid w:val="00207E7C"/>
    <w:rsid w:val="002121D4"/>
    <w:rsid w:val="00213F54"/>
    <w:rsid w:val="002155C6"/>
    <w:rsid w:val="00216E7C"/>
    <w:rsid w:val="0021787D"/>
    <w:rsid w:val="00220A27"/>
    <w:rsid w:val="00222628"/>
    <w:rsid w:val="002228EE"/>
    <w:rsid w:val="00226DFB"/>
    <w:rsid w:val="00226DFF"/>
    <w:rsid w:val="00237445"/>
    <w:rsid w:val="0024208A"/>
    <w:rsid w:val="00242145"/>
    <w:rsid w:val="00244720"/>
    <w:rsid w:val="00245F72"/>
    <w:rsid w:val="002533C4"/>
    <w:rsid w:val="00253568"/>
    <w:rsid w:val="0025408F"/>
    <w:rsid w:val="00254C79"/>
    <w:rsid w:val="002559EE"/>
    <w:rsid w:val="002570EE"/>
    <w:rsid w:val="0026005B"/>
    <w:rsid w:val="002619BE"/>
    <w:rsid w:val="00264716"/>
    <w:rsid w:val="00264F1D"/>
    <w:rsid w:val="002660D6"/>
    <w:rsid w:val="002711E5"/>
    <w:rsid w:val="0027204E"/>
    <w:rsid w:val="002744A8"/>
    <w:rsid w:val="002823E5"/>
    <w:rsid w:val="002952E7"/>
    <w:rsid w:val="0029751F"/>
    <w:rsid w:val="002976B4"/>
    <w:rsid w:val="002A1210"/>
    <w:rsid w:val="002A4AFF"/>
    <w:rsid w:val="002B5D78"/>
    <w:rsid w:val="002C461C"/>
    <w:rsid w:val="002C6137"/>
    <w:rsid w:val="002C76ED"/>
    <w:rsid w:val="002D2EE7"/>
    <w:rsid w:val="002D4BC1"/>
    <w:rsid w:val="002D71F9"/>
    <w:rsid w:val="002D7C09"/>
    <w:rsid w:val="002E0071"/>
    <w:rsid w:val="002E2A58"/>
    <w:rsid w:val="002E3454"/>
    <w:rsid w:val="002E42BF"/>
    <w:rsid w:val="002E4A9C"/>
    <w:rsid w:val="002E7867"/>
    <w:rsid w:val="002F3769"/>
    <w:rsid w:val="002F4133"/>
    <w:rsid w:val="002F5617"/>
    <w:rsid w:val="003006A0"/>
    <w:rsid w:val="00300957"/>
    <w:rsid w:val="0030394C"/>
    <w:rsid w:val="00304819"/>
    <w:rsid w:val="00304A32"/>
    <w:rsid w:val="00310909"/>
    <w:rsid w:val="00310DE2"/>
    <w:rsid w:val="0031668E"/>
    <w:rsid w:val="003172FB"/>
    <w:rsid w:val="0032054C"/>
    <w:rsid w:val="00322288"/>
    <w:rsid w:val="0032278C"/>
    <w:rsid w:val="00332E64"/>
    <w:rsid w:val="00334F6B"/>
    <w:rsid w:val="003358A8"/>
    <w:rsid w:val="00340A1D"/>
    <w:rsid w:val="00341DD6"/>
    <w:rsid w:val="00345D89"/>
    <w:rsid w:val="00346089"/>
    <w:rsid w:val="003461FA"/>
    <w:rsid w:val="00346D88"/>
    <w:rsid w:val="00350222"/>
    <w:rsid w:val="0035267B"/>
    <w:rsid w:val="00355596"/>
    <w:rsid w:val="0035641C"/>
    <w:rsid w:val="003651FC"/>
    <w:rsid w:val="003655AF"/>
    <w:rsid w:val="00365B66"/>
    <w:rsid w:val="00365F1A"/>
    <w:rsid w:val="00372C59"/>
    <w:rsid w:val="00380645"/>
    <w:rsid w:val="003814DB"/>
    <w:rsid w:val="0038279F"/>
    <w:rsid w:val="00384084"/>
    <w:rsid w:val="00384A3C"/>
    <w:rsid w:val="00393F1D"/>
    <w:rsid w:val="003A3506"/>
    <w:rsid w:val="003A3554"/>
    <w:rsid w:val="003A373A"/>
    <w:rsid w:val="003A6145"/>
    <w:rsid w:val="003A6675"/>
    <w:rsid w:val="003A7E14"/>
    <w:rsid w:val="003B496B"/>
    <w:rsid w:val="003B5605"/>
    <w:rsid w:val="003B5983"/>
    <w:rsid w:val="003B64AF"/>
    <w:rsid w:val="003C13F9"/>
    <w:rsid w:val="003C2270"/>
    <w:rsid w:val="003C55A7"/>
    <w:rsid w:val="003D0661"/>
    <w:rsid w:val="003D1CD2"/>
    <w:rsid w:val="003D2AE7"/>
    <w:rsid w:val="003D2B24"/>
    <w:rsid w:val="003D5A67"/>
    <w:rsid w:val="003E02B5"/>
    <w:rsid w:val="003E3D2F"/>
    <w:rsid w:val="003E5328"/>
    <w:rsid w:val="003F0714"/>
    <w:rsid w:val="003F2060"/>
    <w:rsid w:val="003F2724"/>
    <w:rsid w:val="003F33B0"/>
    <w:rsid w:val="003F5032"/>
    <w:rsid w:val="003F663A"/>
    <w:rsid w:val="0040158E"/>
    <w:rsid w:val="004076C2"/>
    <w:rsid w:val="00407ABE"/>
    <w:rsid w:val="00416232"/>
    <w:rsid w:val="00416759"/>
    <w:rsid w:val="00421016"/>
    <w:rsid w:val="00421C8F"/>
    <w:rsid w:val="00425B4E"/>
    <w:rsid w:val="00427F84"/>
    <w:rsid w:val="0043064B"/>
    <w:rsid w:val="00430F55"/>
    <w:rsid w:val="00431F9A"/>
    <w:rsid w:val="00435FEC"/>
    <w:rsid w:val="00445C06"/>
    <w:rsid w:val="00445C1F"/>
    <w:rsid w:val="00445C9D"/>
    <w:rsid w:val="00447704"/>
    <w:rsid w:val="00450C99"/>
    <w:rsid w:val="00454B81"/>
    <w:rsid w:val="004601FF"/>
    <w:rsid w:val="004649CC"/>
    <w:rsid w:val="00464A19"/>
    <w:rsid w:val="00467356"/>
    <w:rsid w:val="00471B94"/>
    <w:rsid w:val="0047268A"/>
    <w:rsid w:val="00482AC0"/>
    <w:rsid w:val="0048451B"/>
    <w:rsid w:val="00493556"/>
    <w:rsid w:val="00494EB2"/>
    <w:rsid w:val="00497F3E"/>
    <w:rsid w:val="004A0C13"/>
    <w:rsid w:val="004A1597"/>
    <w:rsid w:val="004A484F"/>
    <w:rsid w:val="004A53B4"/>
    <w:rsid w:val="004B1D5F"/>
    <w:rsid w:val="004B5356"/>
    <w:rsid w:val="004C142B"/>
    <w:rsid w:val="004C24B5"/>
    <w:rsid w:val="004C4A98"/>
    <w:rsid w:val="004C7089"/>
    <w:rsid w:val="004D3CA9"/>
    <w:rsid w:val="004E1241"/>
    <w:rsid w:val="004E175C"/>
    <w:rsid w:val="004E3016"/>
    <w:rsid w:val="004E5FE8"/>
    <w:rsid w:val="004F4848"/>
    <w:rsid w:val="00500AAC"/>
    <w:rsid w:val="005010B6"/>
    <w:rsid w:val="00504D42"/>
    <w:rsid w:val="0050591E"/>
    <w:rsid w:val="0051199A"/>
    <w:rsid w:val="00512764"/>
    <w:rsid w:val="00513322"/>
    <w:rsid w:val="00520C52"/>
    <w:rsid w:val="00522515"/>
    <w:rsid w:val="00527D09"/>
    <w:rsid w:val="005306A0"/>
    <w:rsid w:val="005363AB"/>
    <w:rsid w:val="00537C23"/>
    <w:rsid w:val="0054346F"/>
    <w:rsid w:val="00552BCC"/>
    <w:rsid w:val="00556237"/>
    <w:rsid w:val="0055719D"/>
    <w:rsid w:val="00557C74"/>
    <w:rsid w:val="00560358"/>
    <w:rsid w:val="0056229D"/>
    <w:rsid w:val="0056244C"/>
    <w:rsid w:val="00562CF1"/>
    <w:rsid w:val="005630DA"/>
    <w:rsid w:val="0056424E"/>
    <w:rsid w:val="00564A3C"/>
    <w:rsid w:val="00574402"/>
    <w:rsid w:val="00574718"/>
    <w:rsid w:val="005747EB"/>
    <w:rsid w:val="005762D5"/>
    <w:rsid w:val="00576606"/>
    <w:rsid w:val="00581470"/>
    <w:rsid w:val="00582781"/>
    <w:rsid w:val="00582AF4"/>
    <w:rsid w:val="00584069"/>
    <w:rsid w:val="00585256"/>
    <w:rsid w:val="0059335C"/>
    <w:rsid w:val="0059361E"/>
    <w:rsid w:val="005A506F"/>
    <w:rsid w:val="005B076F"/>
    <w:rsid w:val="005B2F08"/>
    <w:rsid w:val="005B4AE2"/>
    <w:rsid w:val="005C05A0"/>
    <w:rsid w:val="005C14DB"/>
    <w:rsid w:val="005C1C68"/>
    <w:rsid w:val="005C422A"/>
    <w:rsid w:val="005C681B"/>
    <w:rsid w:val="005C709C"/>
    <w:rsid w:val="005C7128"/>
    <w:rsid w:val="005C7473"/>
    <w:rsid w:val="005C79DD"/>
    <w:rsid w:val="005C7B91"/>
    <w:rsid w:val="005D3066"/>
    <w:rsid w:val="005D50AA"/>
    <w:rsid w:val="005E1DEB"/>
    <w:rsid w:val="005E3FDE"/>
    <w:rsid w:val="005F23C4"/>
    <w:rsid w:val="005F6C8E"/>
    <w:rsid w:val="005F6F1E"/>
    <w:rsid w:val="00602AEF"/>
    <w:rsid w:val="00603CA0"/>
    <w:rsid w:val="00604AE7"/>
    <w:rsid w:val="00605937"/>
    <w:rsid w:val="00607C81"/>
    <w:rsid w:val="00610204"/>
    <w:rsid w:val="006110A6"/>
    <w:rsid w:val="00611A13"/>
    <w:rsid w:val="00617A51"/>
    <w:rsid w:val="006211CF"/>
    <w:rsid w:val="0062485F"/>
    <w:rsid w:val="00625B04"/>
    <w:rsid w:val="00625FE1"/>
    <w:rsid w:val="00627B07"/>
    <w:rsid w:val="00627C5D"/>
    <w:rsid w:val="00631C8C"/>
    <w:rsid w:val="00632560"/>
    <w:rsid w:val="00632A77"/>
    <w:rsid w:val="00632CE2"/>
    <w:rsid w:val="0063625A"/>
    <w:rsid w:val="006368C6"/>
    <w:rsid w:val="006372A9"/>
    <w:rsid w:val="0064022E"/>
    <w:rsid w:val="00646CC7"/>
    <w:rsid w:val="006478E9"/>
    <w:rsid w:val="00647A54"/>
    <w:rsid w:val="006500A1"/>
    <w:rsid w:val="006537C9"/>
    <w:rsid w:val="00654D2A"/>
    <w:rsid w:val="00655494"/>
    <w:rsid w:val="00656A87"/>
    <w:rsid w:val="00657D88"/>
    <w:rsid w:val="00661DC9"/>
    <w:rsid w:val="0066334F"/>
    <w:rsid w:val="00664421"/>
    <w:rsid w:val="0066474F"/>
    <w:rsid w:val="0066478B"/>
    <w:rsid w:val="00665E45"/>
    <w:rsid w:val="00666F27"/>
    <w:rsid w:val="00671791"/>
    <w:rsid w:val="00673300"/>
    <w:rsid w:val="00677F54"/>
    <w:rsid w:val="006805FB"/>
    <w:rsid w:val="006822D9"/>
    <w:rsid w:val="00683EDE"/>
    <w:rsid w:val="00693391"/>
    <w:rsid w:val="00695212"/>
    <w:rsid w:val="00696E3F"/>
    <w:rsid w:val="006A5B76"/>
    <w:rsid w:val="006A675F"/>
    <w:rsid w:val="006A7823"/>
    <w:rsid w:val="006B0FC8"/>
    <w:rsid w:val="006B20B3"/>
    <w:rsid w:val="006B4A3D"/>
    <w:rsid w:val="006B6BE3"/>
    <w:rsid w:val="006C3132"/>
    <w:rsid w:val="006C3C79"/>
    <w:rsid w:val="006C4303"/>
    <w:rsid w:val="006C6CDC"/>
    <w:rsid w:val="006D1572"/>
    <w:rsid w:val="006D2FAA"/>
    <w:rsid w:val="006D5631"/>
    <w:rsid w:val="006D7E96"/>
    <w:rsid w:val="006E1882"/>
    <w:rsid w:val="006E36BC"/>
    <w:rsid w:val="006E3E05"/>
    <w:rsid w:val="006F1817"/>
    <w:rsid w:val="006F24BF"/>
    <w:rsid w:val="006F39B5"/>
    <w:rsid w:val="0070307E"/>
    <w:rsid w:val="00704589"/>
    <w:rsid w:val="007054CF"/>
    <w:rsid w:val="00705E68"/>
    <w:rsid w:val="007202CA"/>
    <w:rsid w:val="00722461"/>
    <w:rsid w:val="00722986"/>
    <w:rsid w:val="007234F8"/>
    <w:rsid w:val="0073090F"/>
    <w:rsid w:val="00735EB8"/>
    <w:rsid w:val="00751FD6"/>
    <w:rsid w:val="00752AE2"/>
    <w:rsid w:val="007543BC"/>
    <w:rsid w:val="00763727"/>
    <w:rsid w:val="00765EBD"/>
    <w:rsid w:val="007726FB"/>
    <w:rsid w:val="00776FBE"/>
    <w:rsid w:val="007814C8"/>
    <w:rsid w:val="00786765"/>
    <w:rsid w:val="007868FF"/>
    <w:rsid w:val="007876E1"/>
    <w:rsid w:val="00787E4F"/>
    <w:rsid w:val="00791896"/>
    <w:rsid w:val="00791954"/>
    <w:rsid w:val="00793242"/>
    <w:rsid w:val="007940E1"/>
    <w:rsid w:val="007955BE"/>
    <w:rsid w:val="007A0DAA"/>
    <w:rsid w:val="007A1D96"/>
    <w:rsid w:val="007A45AD"/>
    <w:rsid w:val="007A6971"/>
    <w:rsid w:val="007B082D"/>
    <w:rsid w:val="007B1B6B"/>
    <w:rsid w:val="007B28F4"/>
    <w:rsid w:val="007B45F4"/>
    <w:rsid w:val="007B47D3"/>
    <w:rsid w:val="007B54F7"/>
    <w:rsid w:val="007B5F8C"/>
    <w:rsid w:val="007C0E4B"/>
    <w:rsid w:val="007C1CF8"/>
    <w:rsid w:val="007C76D2"/>
    <w:rsid w:val="007D277A"/>
    <w:rsid w:val="007D3FD0"/>
    <w:rsid w:val="007D4646"/>
    <w:rsid w:val="007D51C4"/>
    <w:rsid w:val="007D7767"/>
    <w:rsid w:val="007E5340"/>
    <w:rsid w:val="007E664D"/>
    <w:rsid w:val="007F57E9"/>
    <w:rsid w:val="007F5CB7"/>
    <w:rsid w:val="00801B3C"/>
    <w:rsid w:val="00801C4E"/>
    <w:rsid w:val="00801D01"/>
    <w:rsid w:val="00802450"/>
    <w:rsid w:val="00802769"/>
    <w:rsid w:val="00804244"/>
    <w:rsid w:val="00805734"/>
    <w:rsid w:val="008058B0"/>
    <w:rsid w:val="008059D7"/>
    <w:rsid w:val="008107C5"/>
    <w:rsid w:val="008123E5"/>
    <w:rsid w:val="00812910"/>
    <w:rsid w:val="00812B2E"/>
    <w:rsid w:val="00813B43"/>
    <w:rsid w:val="008153EB"/>
    <w:rsid w:val="0081606B"/>
    <w:rsid w:val="00817E61"/>
    <w:rsid w:val="00817EDE"/>
    <w:rsid w:val="00822A8A"/>
    <w:rsid w:val="00825FAE"/>
    <w:rsid w:val="0082768A"/>
    <w:rsid w:val="00835E56"/>
    <w:rsid w:val="00836AC5"/>
    <w:rsid w:val="00837190"/>
    <w:rsid w:val="00847E50"/>
    <w:rsid w:val="0085064B"/>
    <w:rsid w:val="008515FB"/>
    <w:rsid w:val="00854826"/>
    <w:rsid w:val="00856B2C"/>
    <w:rsid w:val="008600A4"/>
    <w:rsid w:val="0086202C"/>
    <w:rsid w:val="00864FA1"/>
    <w:rsid w:val="00867A6B"/>
    <w:rsid w:val="00870A29"/>
    <w:rsid w:val="00877C47"/>
    <w:rsid w:val="00881838"/>
    <w:rsid w:val="008824C9"/>
    <w:rsid w:val="00890884"/>
    <w:rsid w:val="008939E9"/>
    <w:rsid w:val="008A1A7F"/>
    <w:rsid w:val="008A2810"/>
    <w:rsid w:val="008A4299"/>
    <w:rsid w:val="008A62DF"/>
    <w:rsid w:val="008A78B9"/>
    <w:rsid w:val="008B0B07"/>
    <w:rsid w:val="008B0C8E"/>
    <w:rsid w:val="008B4A0F"/>
    <w:rsid w:val="008B778A"/>
    <w:rsid w:val="008C1FB1"/>
    <w:rsid w:val="008C2102"/>
    <w:rsid w:val="008C45AA"/>
    <w:rsid w:val="008D2843"/>
    <w:rsid w:val="008D7482"/>
    <w:rsid w:val="008F1A66"/>
    <w:rsid w:val="008F596A"/>
    <w:rsid w:val="008F6250"/>
    <w:rsid w:val="009005BA"/>
    <w:rsid w:val="0090105C"/>
    <w:rsid w:val="00903908"/>
    <w:rsid w:val="009111E3"/>
    <w:rsid w:val="00911B1F"/>
    <w:rsid w:val="009125CE"/>
    <w:rsid w:val="00914477"/>
    <w:rsid w:val="00915913"/>
    <w:rsid w:val="009170B9"/>
    <w:rsid w:val="0092545A"/>
    <w:rsid w:val="00937098"/>
    <w:rsid w:val="009417D8"/>
    <w:rsid w:val="00941DC7"/>
    <w:rsid w:val="009453C9"/>
    <w:rsid w:val="00945A81"/>
    <w:rsid w:val="00945DDF"/>
    <w:rsid w:val="009466B7"/>
    <w:rsid w:val="00946742"/>
    <w:rsid w:val="00946F8F"/>
    <w:rsid w:val="00950238"/>
    <w:rsid w:val="00950A56"/>
    <w:rsid w:val="00951E41"/>
    <w:rsid w:val="009567BB"/>
    <w:rsid w:val="00960E1B"/>
    <w:rsid w:val="00961228"/>
    <w:rsid w:val="009631F7"/>
    <w:rsid w:val="00963A95"/>
    <w:rsid w:val="00964161"/>
    <w:rsid w:val="009740FA"/>
    <w:rsid w:val="00982F9D"/>
    <w:rsid w:val="00985842"/>
    <w:rsid w:val="0099255C"/>
    <w:rsid w:val="00993AE7"/>
    <w:rsid w:val="00997AAE"/>
    <w:rsid w:val="009A2F47"/>
    <w:rsid w:val="009A465C"/>
    <w:rsid w:val="009A4B83"/>
    <w:rsid w:val="009A53C9"/>
    <w:rsid w:val="009B1796"/>
    <w:rsid w:val="009B2377"/>
    <w:rsid w:val="009B25E0"/>
    <w:rsid w:val="009D5ED2"/>
    <w:rsid w:val="009D60F6"/>
    <w:rsid w:val="009E1715"/>
    <w:rsid w:val="009E7358"/>
    <w:rsid w:val="009F00FD"/>
    <w:rsid w:val="009F0706"/>
    <w:rsid w:val="009F095A"/>
    <w:rsid w:val="009F1868"/>
    <w:rsid w:val="009F6DA9"/>
    <w:rsid w:val="009F6DFE"/>
    <w:rsid w:val="009F7339"/>
    <w:rsid w:val="00A013CD"/>
    <w:rsid w:val="00A02891"/>
    <w:rsid w:val="00A05493"/>
    <w:rsid w:val="00A0741C"/>
    <w:rsid w:val="00A07881"/>
    <w:rsid w:val="00A10544"/>
    <w:rsid w:val="00A10DE4"/>
    <w:rsid w:val="00A10E83"/>
    <w:rsid w:val="00A125EB"/>
    <w:rsid w:val="00A148D1"/>
    <w:rsid w:val="00A14AAC"/>
    <w:rsid w:val="00A23EEE"/>
    <w:rsid w:val="00A26DBE"/>
    <w:rsid w:val="00A27CE8"/>
    <w:rsid w:val="00A31369"/>
    <w:rsid w:val="00A352B9"/>
    <w:rsid w:val="00A3581C"/>
    <w:rsid w:val="00A3611B"/>
    <w:rsid w:val="00A368FA"/>
    <w:rsid w:val="00A42668"/>
    <w:rsid w:val="00A45523"/>
    <w:rsid w:val="00A45F6C"/>
    <w:rsid w:val="00A46FCF"/>
    <w:rsid w:val="00A54277"/>
    <w:rsid w:val="00A60F33"/>
    <w:rsid w:val="00A624DE"/>
    <w:rsid w:val="00A630C2"/>
    <w:rsid w:val="00A63C7A"/>
    <w:rsid w:val="00A6580C"/>
    <w:rsid w:val="00A7431F"/>
    <w:rsid w:val="00A7464E"/>
    <w:rsid w:val="00A75451"/>
    <w:rsid w:val="00A77A2F"/>
    <w:rsid w:val="00A83BB2"/>
    <w:rsid w:val="00A83D01"/>
    <w:rsid w:val="00A857F8"/>
    <w:rsid w:val="00A85BF1"/>
    <w:rsid w:val="00A86CE6"/>
    <w:rsid w:val="00A90200"/>
    <w:rsid w:val="00A94E96"/>
    <w:rsid w:val="00AA1DB8"/>
    <w:rsid w:val="00AA1EC0"/>
    <w:rsid w:val="00AA3C93"/>
    <w:rsid w:val="00AA50C0"/>
    <w:rsid w:val="00AB230B"/>
    <w:rsid w:val="00AB3B42"/>
    <w:rsid w:val="00AB6F3E"/>
    <w:rsid w:val="00AB7010"/>
    <w:rsid w:val="00AC2A0E"/>
    <w:rsid w:val="00AC54BA"/>
    <w:rsid w:val="00AD2151"/>
    <w:rsid w:val="00AD3D62"/>
    <w:rsid w:val="00AD4D3B"/>
    <w:rsid w:val="00AD5227"/>
    <w:rsid w:val="00AD5DFB"/>
    <w:rsid w:val="00AD7303"/>
    <w:rsid w:val="00AD7547"/>
    <w:rsid w:val="00AE3B08"/>
    <w:rsid w:val="00AF0545"/>
    <w:rsid w:val="00AF5CC1"/>
    <w:rsid w:val="00AF70ED"/>
    <w:rsid w:val="00AF7A10"/>
    <w:rsid w:val="00B035BB"/>
    <w:rsid w:val="00B05169"/>
    <w:rsid w:val="00B05805"/>
    <w:rsid w:val="00B07B7A"/>
    <w:rsid w:val="00B10205"/>
    <w:rsid w:val="00B10EA9"/>
    <w:rsid w:val="00B16177"/>
    <w:rsid w:val="00B20275"/>
    <w:rsid w:val="00B20428"/>
    <w:rsid w:val="00B20E5A"/>
    <w:rsid w:val="00B23276"/>
    <w:rsid w:val="00B245AE"/>
    <w:rsid w:val="00B24B02"/>
    <w:rsid w:val="00B26625"/>
    <w:rsid w:val="00B40630"/>
    <w:rsid w:val="00B40877"/>
    <w:rsid w:val="00B440D4"/>
    <w:rsid w:val="00B46136"/>
    <w:rsid w:val="00B5139B"/>
    <w:rsid w:val="00B54178"/>
    <w:rsid w:val="00B55B39"/>
    <w:rsid w:val="00B61644"/>
    <w:rsid w:val="00B6169F"/>
    <w:rsid w:val="00B654A7"/>
    <w:rsid w:val="00B66FBB"/>
    <w:rsid w:val="00B765F1"/>
    <w:rsid w:val="00B77D26"/>
    <w:rsid w:val="00B8187D"/>
    <w:rsid w:val="00B85520"/>
    <w:rsid w:val="00B877BB"/>
    <w:rsid w:val="00B9041A"/>
    <w:rsid w:val="00B94300"/>
    <w:rsid w:val="00BA1886"/>
    <w:rsid w:val="00BA1B5A"/>
    <w:rsid w:val="00BA3A18"/>
    <w:rsid w:val="00BA65B3"/>
    <w:rsid w:val="00BB39A5"/>
    <w:rsid w:val="00BB43B4"/>
    <w:rsid w:val="00BC5290"/>
    <w:rsid w:val="00BC63DF"/>
    <w:rsid w:val="00BC72A7"/>
    <w:rsid w:val="00BD31D9"/>
    <w:rsid w:val="00BD45A9"/>
    <w:rsid w:val="00BD567D"/>
    <w:rsid w:val="00BD7BA9"/>
    <w:rsid w:val="00BE0464"/>
    <w:rsid w:val="00BE1681"/>
    <w:rsid w:val="00BE2FF2"/>
    <w:rsid w:val="00BE35A6"/>
    <w:rsid w:val="00BE6E91"/>
    <w:rsid w:val="00BF419D"/>
    <w:rsid w:val="00BF6848"/>
    <w:rsid w:val="00C0158D"/>
    <w:rsid w:val="00C122DA"/>
    <w:rsid w:val="00C13D75"/>
    <w:rsid w:val="00C23CA7"/>
    <w:rsid w:val="00C23DF6"/>
    <w:rsid w:val="00C268A0"/>
    <w:rsid w:val="00C27D9F"/>
    <w:rsid w:val="00C3221A"/>
    <w:rsid w:val="00C3496B"/>
    <w:rsid w:val="00C35241"/>
    <w:rsid w:val="00C409D2"/>
    <w:rsid w:val="00C41C40"/>
    <w:rsid w:val="00C41F0F"/>
    <w:rsid w:val="00C42D97"/>
    <w:rsid w:val="00C44A28"/>
    <w:rsid w:val="00C44F24"/>
    <w:rsid w:val="00C501EE"/>
    <w:rsid w:val="00C51697"/>
    <w:rsid w:val="00C5576B"/>
    <w:rsid w:val="00C56C43"/>
    <w:rsid w:val="00C60090"/>
    <w:rsid w:val="00C61693"/>
    <w:rsid w:val="00C638D6"/>
    <w:rsid w:val="00C66D44"/>
    <w:rsid w:val="00C66E9E"/>
    <w:rsid w:val="00C67499"/>
    <w:rsid w:val="00C71B9F"/>
    <w:rsid w:val="00C83967"/>
    <w:rsid w:val="00C8435C"/>
    <w:rsid w:val="00C86450"/>
    <w:rsid w:val="00C90F31"/>
    <w:rsid w:val="00C951B7"/>
    <w:rsid w:val="00C976B3"/>
    <w:rsid w:val="00CA0459"/>
    <w:rsid w:val="00CA25BC"/>
    <w:rsid w:val="00CA4F51"/>
    <w:rsid w:val="00CB339E"/>
    <w:rsid w:val="00CB7A3C"/>
    <w:rsid w:val="00CB7DE8"/>
    <w:rsid w:val="00CC27BC"/>
    <w:rsid w:val="00CC7E06"/>
    <w:rsid w:val="00CD32D8"/>
    <w:rsid w:val="00CD72D0"/>
    <w:rsid w:val="00CE15DB"/>
    <w:rsid w:val="00CE1F83"/>
    <w:rsid w:val="00CE303D"/>
    <w:rsid w:val="00CE3381"/>
    <w:rsid w:val="00CE71F6"/>
    <w:rsid w:val="00CE76CD"/>
    <w:rsid w:val="00CF417D"/>
    <w:rsid w:val="00CF4D06"/>
    <w:rsid w:val="00CF53CA"/>
    <w:rsid w:val="00CF62EF"/>
    <w:rsid w:val="00CF6F11"/>
    <w:rsid w:val="00D006BB"/>
    <w:rsid w:val="00D0143C"/>
    <w:rsid w:val="00D01B15"/>
    <w:rsid w:val="00D01DB1"/>
    <w:rsid w:val="00D04049"/>
    <w:rsid w:val="00D06301"/>
    <w:rsid w:val="00D1249F"/>
    <w:rsid w:val="00D127E1"/>
    <w:rsid w:val="00D144AE"/>
    <w:rsid w:val="00D16A38"/>
    <w:rsid w:val="00D17969"/>
    <w:rsid w:val="00D17F6A"/>
    <w:rsid w:val="00D20195"/>
    <w:rsid w:val="00D20816"/>
    <w:rsid w:val="00D2173E"/>
    <w:rsid w:val="00D234A4"/>
    <w:rsid w:val="00D24C36"/>
    <w:rsid w:val="00D26DB0"/>
    <w:rsid w:val="00D31682"/>
    <w:rsid w:val="00D32B44"/>
    <w:rsid w:val="00D33FEF"/>
    <w:rsid w:val="00D3695D"/>
    <w:rsid w:val="00D412A7"/>
    <w:rsid w:val="00D41358"/>
    <w:rsid w:val="00D43431"/>
    <w:rsid w:val="00D44425"/>
    <w:rsid w:val="00D47BF9"/>
    <w:rsid w:val="00D5021F"/>
    <w:rsid w:val="00D502C6"/>
    <w:rsid w:val="00D51188"/>
    <w:rsid w:val="00D52601"/>
    <w:rsid w:val="00D570A5"/>
    <w:rsid w:val="00D61E16"/>
    <w:rsid w:val="00D61FC9"/>
    <w:rsid w:val="00D631D2"/>
    <w:rsid w:val="00D65A84"/>
    <w:rsid w:val="00D65DEB"/>
    <w:rsid w:val="00D66E12"/>
    <w:rsid w:val="00D6701A"/>
    <w:rsid w:val="00D70418"/>
    <w:rsid w:val="00D71E22"/>
    <w:rsid w:val="00D75F53"/>
    <w:rsid w:val="00D764A2"/>
    <w:rsid w:val="00D848E5"/>
    <w:rsid w:val="00D84E22"/>
    <w:rsid w:val="00D873B9"/>
    <w:rsid w:val="00D876F1"/>
    <w:rsid w:val="00D9082F"/>
    <w:rsid w:val="00D96607"/>
    <w:rsid w:val="00D97C91"/>
    <w:rsid w:val="00DA1086"/>
    <w:rsid w:val="00DA1933"/>
    <w:rsid w:val="00DA655E"/>
    <w:rsid w:val="00DB091F"/>
    <w:rsid w:val="00DB0F70"/>
    <w:rsid w:val="00DB2EEC"/>
    <w:rsid w:val="00DB5AAE"/>
    <w:rsid w:val="00DB682F"/>
    <w:rsid w:val="00DB7813"/>
    <w:rsid w:val="00DC4F86"/>
    <w:rsid w:val="00DC7F6F"/>
    <w:rsid w:val="00DD017F"/>
    <w:rsid w:val="00DD1615"/>
    <w:rsid w:val="00DD5F6A"/>
    <w:rsid w:val="00DE147D"/>
    <w:rsid w:val="00DE18F9"/>
    <w:rsid w:val="00DE4725"/>
    <w:rsid w:val="00DE5408"/>
    <w:rsid w:val="00DF66D8"/>
    <w:rsid w:val="00DF7B60"/>
    <w:rsid w:val="00E02676"/>
    <w:rsid w:val="00E02782"/>
    <w:rsid w:val="00E068BC"/>
    <w:rsid w:val="00E14B69"/>
    <w:rsid w:val="00E17EBA"/>
    <w:rsid w:val="00E23A69"/>
    <w:rsid w:val="00E24A8D"/>
    <w:rsid w:val="00E26092"/>
    <w:rsid w:val="00E32E50"/>
    <w:rsid w:val="00E34717"/>
    <w:rsid w:val="00E347DA"/>
    <w:rsid w:val="00E379F1"/>
    <w:rsid w:val="00E37B84"/>
    <w:rsid w:val="00E409E9"/>
    <w:rsid w:val="00E52A61"/>
    <w:rsid w:val="00E61F65"/>
    <w:rsid w:val="00E63332"/>
    <w:rsid w:val="00E67913"/>
    <w:rsid w:val="00E71E40"/>
    <w:rsid w:val="00E766C9"/>
    <w:rsid w:val="00E76C27"/>
    <w:rsid w:val="00E77789"/>
    <w:rsid w:val="00E8118D"/>
    <w:rsid w:val="00E82A77"/>
    <w:rsid w:val="00E83F82"/>
    <w:rsid w:val="00E91248"/>
    <w:rsid w:val="00E94260"/>
    <w:rsid w:val="00E95459"/>
    <w:rsid w:val="00E95A94"/>
    <w:rsid w:val="00E96EE8"/>
    <w:rsid w:val="00EA04C6"/>
    <w:rsid w:val="00EA1927"/>
    <w:rsid w:val="00EA451F"/>
    <w:rsid w:val="00EA50B1"/>
    <w:rsid w:val="00EB1DDF"/>
    <w:rsid w:val="00EB4F00"/>
    <w:rsid w:val="00EB4F7E"/>
    <w:rsid w:val="00EB59FE"/>
    <w:rsid w:val="00EB6ADE"/>
    <w:rsid w:val="00EC385B"/>
    <w:rsid w:val="00EC450C"/>
    <w:rsid w:val="00EC4918"/>
    <w:rsid w:val="00EC57B5"/>
    <w:rsid w:val="00EC630F"/>
    <w:rsid w:val="00ED01CD"/>
    <w:rsid w:val="00ED12F2"/>
    <w:rsid w:val="00ED54D5"/>
    <w:rsid w:val="00EE043F"/>
    <w:rsid w:val="00EE07DB"/>
    <w:rsid w:val="00EE0B15"/>
    <w:rsid w:val="00EE0EA7"/>
    <w:rsid w:val="00EE3F48"/>
    <w:rsid w:val="00F00ACD"/>
    <w:rsid w:val="00F04B3A"/>
    <w:rsid w:val="00F05483"/>
    <w:rsid w:val="00F070F0"/>
    <w:rsid w:val="00F13A26"/>
    <w:rsid w:val="00F17D8D"/>
    <w:rsid w:val="00F2174A"/>
    <w:rsid w:val="00F23539"/>
    <w:rsid w:val="00F23680"/>
    <w:rsid w:val="00F26B73"/>
    <w:rsid w:val="00F312CC"/>
    <w:rsid w:val="00F343CA"/>
    <w:rsid w:val="00F345B6"/>
    <w:rsid w:val="00F34F2C"/>
    <w:rsid w:val="00F37132"/>
    <w:rsid w:val="00F44897"/>
    <w:rsid w:val="00F45656"/>
    <w:rsid w:val="00F52F60"/>
    <w:rsid w:val="00F64365"/>
    <w:rsid w:val="00F64DE8"/>
    <w:rsid w:val="00F65673"/>
    <w:rsid w:val="00F656B3"/>
    <w:rsid w:val="00F65CC8"/>
    <w:rsid w:val="00F70664"/>
    <w:rsid w:val="00F74388"/>
    <w:rsid w:val="00F7704A"/>
    <w:rsid w:val="00F775CB"/>
    <w:rsid w:val="00F8062C"/>
    <w:rsid w:val="00F825EC"/>
    <w:rsid w:val="00F82F88"/>
    <w:rsid w:val="00F8722C"/>
    <w:rsid w:val="00F93C7D"/>
    <w:rsid w:val="00FA2474"/>
    <w:rsid w:val="00FA417A"/>
    <w:rsid w:val="00FA498D"/>
    <w:rsid w:val="00FA5B1E"/>
    <w:rsid w:val="00FA623E"/>
    <w:rsid w:val="00FB1798"/>
    <w:rsid w:val="00FB1DD5"/>
    <w:rsid w:val="00FB2B7E"/>
    <w:rsid w:val="00FB433B"/>
    <w:rsid w:val="00FC029C"/>
    <w:rsid w:val="00FC17AA"/>
    <w:rsid w:val="00FC7C37"/>
    <w:rsid w:val="00FD28B5"/>
    <w:rsid w:val="00FD4EAA"/>
    <w:rsid w:val="00FE0D24"/>
    <w:rsid w:val="00FE740C"/>
    <w:rsid w:val="00FF2F88"/>
    <w:rsid w:val="00FF4CDD"/>
    <w:rsid w:val="00FF562D"/>
    <w:rsid w:val="00FF6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4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1020</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Goraus</dc:creator>
  <cp:lastModifiedBy>Joanna Tyrowicz</cp:lastModifiedBy>
  <cp:revision>17</cp:revision>
  <dcterms:created xsi:type="dcterms:W3CDTF">2017-04-21T15:29:00Z</dcterms:created>
  <dcterms:modified xsi:type="dcterms:W3CDTF">2017-05-06T17:07:00Z</dcterms:modified>
</cp:coreProperties>
</file>